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浙江大学公共管理学院本科生综合评价实施办法</w:t>
      </w:r>
    </w:p>
    <w:p>
      <w:pPr>
        <w:adjustRightInd w:val="0"/>
        <w:snapToGrid w:val="0"/>
        <w:spacing w:line="276" w:lineRule="auto"/>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w:t>
      </w:r>
      <w:r>
        <w:rPr>
          <w:rFonts w:hint="eastAsia" w:ascii="方正小标宋简体" w:hAnsi="方正小标宋简体" w:eastAsia="方正小标宋简体" w:cs="方正小标宋简体"/>
          <w:b w:val="0"/>
          <w:bCs w:val="0"/>
          <w:sz w:val="32"/>
          <w:szCs w:val="32"/>
          <w:lang w:val="en-US" w:eastAsia="zh-CN"/>
        </w:rPr>
        <w:t>征求意见稿</w:t>
      </w:r>
      <w:r>
        <w:rPr>
          <w:rFonts w:hint="eastAsia" w:ascii="方正小标宋简体" w:hAnsi="方正小标宋简体" w:eastAsia="方正小标宋简体" w:cs="方正小标宋简体"/>
          <w:b w:val="0"/>
          <w:bCs w:val="0"/>
          <w:sz w:val="32"/>
          <w:szCs w:val="32"/>
          <w:lang w:eastAsia="zh-CN"/>
        </w:rPr>
        <w:t>）</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为深入学习贯彻习近平新时代中国特色社会主义思想，坚持社会主义办学方向，以立德树人为根本，以理想信念教育为核心，以社会主义核心价值观为引领，紧紧围绕学校“知识、能力、素质、人格”四位一体（KAQ2.0）的人才培养体系，大力培养德才兼备、全面发展的中国特色社会主义合格建设者和可靠接班人，现依据《浙江大学本科学生评价实施办法》（浙大发本﹝2017﹞117号）文件，结合公共管理学院人才培养目标，特制定本办法。</w:t>
      </w:r>
    </w:p>
    <w:p>
      <w:pPr>
        <w:adjustRightInd w:val="0"/>
        <w:snapToGrid w:val="0"/>
        <w:spacing w:line="276" w:lineRule="auto"/>
        <w:ind w:firstLine="480" w:firstLineChars="200"/>
        <w:rPr>
          <w:rFonts w:hint="default" w:ascii="Times New Roman" w:hAnsi="Times New Roman" w:eastAsia="仿宋_GB2312" w:cs="Times New Roman"/>
          <w:sz w:val="24"/>
        </w:rPr>
      </w:pPr>
    </w:p>
    <w:p>
      <w:pPr>
        <w:adjustRightInd w:val="0"/>
        <w:snapToGrid w:val="0"/>
        <w:spacing w:line="276"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第一章  学生综合评价实施原则</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一、以有利于学生全面发展为目标；</w:t>
      </w:r>
      <w:bookmarkStart w:id="0" w:name="_GoBack"/>
      <w:bookmarkEnd w:id="0"/>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二、发挥评价过程的激励和导向作用，引导学生成为基础宽厚、能力卓越、素质全面和人格健全的“时代高才”；</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三、坚持定量、定性相结合，全方位、多维度考核的办法，坚持公开、公平、公正的评价原则；</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四、结合学生综合评价内容，按照“先评选荣誉称号，再参评奖学金”的基本要求有序开展。</w:t>
      </w:r>
    </w:p>
    <w:p>
      <w:pPr>
        <w:adjustRightInd w:val="0"/>
        <w:snapToGrid w:val="0"/>
        <w:spacing w:line="276"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第二章  学生综合评价实施细则</w:t>
      </w:r>
    </w:p>
    <w:p>
      <w:pPr>
        <w:adjustRightInd w:val="0"/>
        <w:snapToGrid w:val="0"/>
        <w:spacing w:line="276"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一、学生综合评价机构</w:t>
      </w:r>
    </w:p>
    <w:p>
      <w:pPr>
        <w:adjustRightInd w:val="0"/>
        <w:snapToGrid w:val="0"/>
        <w:spacing w:line="276"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（一）学院测评小组</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1、测评领导组：</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组  长：学院分管学生工作党委副书记、学院分管本科生教学副院长</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组  员：学院本科生管理办公室主任、学院团委书记（辅导员）、各系主任</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2、测评工作组：</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组  长：学院团委书记（辅导员）</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副组长：学院团委副书记（辅导员）</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组  员：学院本科生团总支书记处、学生会主席团、各班测评小组</w:t>
      </w:r>
    </w:p>
    <w:p>
      <w:pPr>
        <w:adjustRightInd w:val="0"/>
        <w:snapToGrid w:val="0"/>
        <w:spacing w:line="276"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（二）班级测评小组</w:t>
      </w:r>
    </w:p>
    <w:p>
      <w:pPr>
        <w:adjustRightInd w:val="0"/>
        <w:snapToGrid w:val="0"/>
        <w:spacing w:line="276" w:lineRule="auto"/>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以专业班级为单位组建测评小组，包括班主任、班长、团支书和2名同学代表（由班会选举产生），班主任担任班级测评小组组长，同时也作为班级评奖评优第一负责人。</w:t>
      </w:r>
    </w:p>
    <w:p>
      <w:pPr>
        <w:adjustRightInd w:val="0"/>
        <w:snapToGrid w:val="0"/>
        <w:spacing w:line="276" w:lineRule="auto"/>
        <w:ind w:firstLine="482" w:firstLineChars="200"/>
        <w:rPr>
          <w:rFonts w:hint="default" w:ascii="Times New Roman" w:hAnsi="Times New Roman" w:eastAsia="仿宋_GB2312" w:cs="Times New Roman"/>
          <w:sz w:val="24"/>
        </w:rPr>
      </w:pPr>
      <w:r>
        <w:rPr>
          <w:rFonts w:hint="default" w:ascii="Times New Roman" w:hAnsi="Times New Roman" w:eastAsia="仿宋_GB2312" w:cs="Times New Roman"/>
          <w:b/>
          <w:bCs/>
          <w:sz w:val="24"/>
        </w:rPr>
        <w:t>二、学生综合评价体系</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我院学生综合评价紧密结合我校人才培养理念，分别从思想政治素质、学业成绩、能力素养、体质健康四个方面对学生进行评价。</w:t>
      </w:r>
    </w:p>
    <w:p>
      <w:pPr>
        <w:adjustRightInd w:val="0"/>
        <w:snapToGrid w:val="0"/>
        <w:spacing w:line="276" w:lineRule="auto"/>
        <w:ind w:firstLine="482" w:firstLineChars="2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（一）思想政治素质</w:t>
      </w:r>
    </w:p>
    <w:p>
      <w:pPr>
        <w:adjustRightInd w:val="0"/>
        <w:snapToGrid w:val="0"/>
        <w:spacing w:line="276" w:lineRule="auto"/>
        <w:ind w:firstLine="480" w:firstLineChars="200"/>
        <w:jc w:val="left"/>
        <w:rPr>
          <w:rFonts w:hint="default" w:ascii="Times New Roman" w:hAnsi="Times New Roman" w:eastAsia="仿宋_GB2312" w:cs="Times New Roman"/>
          <w:bCs/>
          <w:sz w:val="24"/>
        </w:rPr>
      </w:pPr>
      <w:r>
        <w:rPr>
          <w:rFonts w:hint="default" w:ascii="Times New Roman" w:hAnsi="Times New Roman" w:eastAsia="仿宋_GB2312" w:cs="Times New Roman"/>
          <w:bCs/>
          <w:sz w:val="24"/>
        </w:rPr>
        <w:t>学生应拥护中国共产党的领导，增强爱国主义精神，树立法治观念，遵守学校管理制度，积极参加集体活动，具有良好的道德品质和行为习惯。“思想政治素质”</w:t>
      </w:r>
      <w:r>
        <w:rPr>
          <w:rFonts w:hint="default" w:ascii="Times New Roman" w:hAnsi="Times New Roman" w:eastAsia="仿宋_GB2312" w:cs="Times New Roman"/>
          <w:sz w:val="24"/>
        </w:rPr>
        <w:t>评价包括“记实”和“评议”两部分。其评价结果作为学生参评荣誉称号及奖学金的基础条件。</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1.“记实” </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“记实”包括“申报认证”、“宿舍记实”和“行为记实”。</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申报认证”是指学生按照“大学生素质拓展计划”实施程序，向班级测评小组申报个人在学习、生活与工作中符合申报条件的行为及表现，并提供有关证明材料，由班级测评小组和学院测评小组按规定进行审核和确认。</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（2）“宿舍记实”由宿舍管理部门根据《浙江大学学生宿舍记实考评管理规定》，对学生的表现进行评价。</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行为记实”包括“违纪行为”和“行为失范”两种类型。“违纪行为”包括学生受到学校纪律处分和学院通报批评的行为。有违纪行为的同学，其思想政治素质等级评定为“不合格”。“行为失范”包括学生存在不良行为作风、诚信缺失等情况，具体表现为学生违反正常教学秩序和课堂纪律，沉迷网络、影响个人或他人的学习生活，弄虚作假、诚信缺失，蓄意侮辱诽谤他人、散播谣言，赌博、酗酒、打架斗殴</w:t>
      </w:r>
      <w:r>
        <w:rPr>
          <w:rFonts w:hint="default" w:ascii="Times New Roman" w:hAnsi="Times New Roman" w:eastAsia="仿宋_GB2312" w:cs="Times New Roman"/>
          <w:sz w:val="24"/>
        </w:rPr>
        <w:t>，在宿舍存放违章电器，校内外违反交通法规，发表不当言论，无正当理由拖欠学费，未依照规定申请或者申请未获许可进行集会、游行、示威等违背学生手册相关规定的行为</w:t>
      </w:r>
      <w:r>
        <w:rPr>
          <w:rFonts w:hint="default" w:ascii="Times New Roman" w:hAnsi="Times New Roman" w:eastAsia="仿宋_GB2312" w:cs="Times New Roman"/>
          <w:sz w:val="24"/>
        </w:rPr>
        <w:t>。有行为失范情况的学生，其思想政治素质等级不得评定为“优秀”或“良好”</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视情节恶劣程度评定为“不合格”</w:t>
      </w:r>
      <w:r>
        <w:rPr>
          <w:rFonts w:hint="default" w:ascii="Times New Roman" w:hAnsi="Times New Roman" w:eastAsia="仿宋_GB2312" w:cs="Times New Roman"/>
          <w:sz w:val="24"/>
        </w:rPr>
        <w:t>。</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2.“评议”</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评议”包括“个人自评”和“班级评议”。“个人自评”是指学生在学年小结表上做年度总结。“班级评议”是指班主任和同学对本班同学的综合评价，主要包括思想政治表现、学习态度、诚信记录、班级贡献等方面的综合评价。</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3.评价结果</w:t>
      </w:r>
    </w:p>
    <w:p>
      <w:pPr>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w:t>
      </w:r>
      <w:r>
        <w:rPr>
          <w:rFonts w:hint="default" w:ascii="Times New Roman" w:hAnsi="Times New Roman" w:eastAsia="仿宋_GB2312" w:cs="Times New Roman"/>
          <w:bCs/>
          <w:sz w:val="24"/>
        </w:rPr>
        <w:t>思想政治素质</w:t>
      </w:r>
      <w:r>
        <w:rPr>
          <w:rFonts w:hint="default" w:ascii="Times New Roman" w:hAnsi="Times New Roman" w:eastAsia="仿宋_GB2312" w:cs="Times New Roman"/>
          <w:sz w:val="24"/>
        </w:rPr>
        <w:t>”评价结果通过排名量化体现。其中，“申报认证”排名占总排名的70%，“宿舍记实”排名占总排名的15%，“评议”排名占总排名的15%。最终思想政治素质评定按照“优秀”不超过20%，“良好”不超过30%,“不合格”的评定比例根据实际情况确定。“</w:t>
      </w:r>
      <w:r>
        <w:rPr>
          <w:rFonts w:hint="default" w:ascii="Times New Roman" w:hAnsi="Times New Roman" w:eastAsia="仿宋_GB2312" w:cs="Times New Roman"/>
          <w:bCs/>
          <w:sz w:val="24"/>
        </w:rPr>
        <w:t>思想政治素质</w:t>
      </w:r>
      <w:r>
        <w:rPr>
          <w:rFonts w:hint="default" w:ascii="Times New Roman" w:hAnsi="Times New Roman" w:eastAsia="仿宋_GB2312" w:cs="Times New Roman"/>
          <w:sz w:val="24"/>
        </w:rPr>
        <w:t>”评价结果经班级测评小组公示并签字后报学院审核。</w:t>
      </w:r>
    </w:p>
    <w:p>
      <w:pPr>
        <w:adjustRightInd w:val="0"/>
        <w:snapToGrid w:val="0"/>
        <w:spacing w:line="276" w:lineRule="auto"/>
        <w:ind w:firstLine="482" w:firstLineChars="2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（二）学业成绩</w:t>
      </w:r>
    </w:p>
    <w:p>
      <w:pPr>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业成绩是指学生应端正学习态度，夯实“宽基础、强专业、重交叉”的知识体系，努力提高善于理解与接收新事物、善于深入分析与解决问题、善于创新的能力。具体包括知识水平、学习的质与量、学习进步幅度等内容。详见《公共管理学院本科生学业成绩评价细则》，其评价结果作为学业优秀标兵和学业进步标兵评定的主要依据。</w:t>
      </w:r>
    </w:p>
    <w:p>
      <w:pPr>
        <w:adjustRightInd w:val="0"/>
        <w:snapToGrid w:val="0"/>
        <w:spacing w:line="276" w:lineRule="auto"/>
        <w:ind w:firstLine="482" w:firstLineChars="2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（三）能力素养</w:t>
      </w:r>
    </w:p>
    <w:p>
      <w:pPr>
        <w:adjustRightInd w:val="0"/>
        <w:snapToGrid w:val="0"/>
        <w:spacing w:line="276" w:lineRule="auto"/>
        <w:ind w:firstLine="480" w:firstLineChars="200"/>
        <w:jc w:val="left"/>
        <w:rPr>
          <w:rFonts w:hint="default" w:ascii="Times New Roman" w:hAnsi="Times New Roman" w:eastAsia="仿宋_GB2312" w:cs="Times New Roman"/>
          <w:b/>
          <w:bCs/>
          <w:sz w:val="24"/>
        </w:rPr>
      </w:pPr>
      <w:r>
        <w:rPr>
          <w:rFonts w:hint="default" w:ascii="Times New Roman" w:hAnsi="Times New Roman" w:eastAsia="仿宋_GB2312" w:cs="Times New Roman"/>
          <w:kern w:val="0"/>
          <w:sz w:val="24"/>
        </w:rPr>
        <w:t>能力素养是指学生应积极参加学术研究、实践创新、文体竞赛、公益服务、对外交流等活动，不断提升驾驭思维与语言表达的能力，探索、洞察、分析的研究能力，管理、沟通、领导、合作的组织能力，国际思维与跨界整合的统筹能力，开创事业与引领未来的创新能力，努力提高责任心、道德、诚信、爱心、体魄、情商等在内的综合素质。其评价结果作为创新创业标兵、公益服务标兵、对外交流标兵、文体活动标兵、社会工作标兵申请的主要依据。具体要求如下：</w:t>
      </w:r>
    </w:p>
    <w:p>
      <w:pPr>
        <w:widowControl/>
        <w:adjustRightInd w:val="0"/>
        <w:snapToGrid w:val="0"/>
        <w:spacing w:line="276" w:lineRule="auto"/>
        <w:ind w:firstLine="482"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1. 创新创业</w:t>
      </w:r>
      <w:r>
        <w:rPr>
          <w:rFonts w:hint="default" w:ascii="Times New Roman" w:hAnsi="Times New Roman" w:eastAsia="仿宋_GB2312" w:cs="Times New Roman"/>
          <w:b/>
          <w:sz w:val="24"/>
        </w:rPr>
        <w:t>标兵记实</w:t>
      </w:r>
    </w:p>
    <w:p>
      <w:pPr>
        <w:widowControl/>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创新创业标兵记实依据每学年学术竞赛类活动、科学研究类活动和创业实践三部分。</w:t>
      </w:r>
    </w:p>
    <w:p>
      <w:pPr>
        <w:widowControl/>
        <w:adjustRightInd w:val="0"/>
        <w:snapToGrid w:val="0"/>
        <w:spacing w:line="276" w:lineRule="auto"/>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1 \* GB2</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sz w:val="24"/>
        </w:rPr>
        <w:t>⑴</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学术竞赛类活动</w:t>
      </w:r>
      <w:r>
        <w:rPr>
          <w:rFonts w:hint="default" w:ascii="Times New Roman" w:hAnsi="Times New Roman" w:eastAsia="仿宋_GB2312" w:cs="Times New Roman"/>
          <w:kern w:val="0"/>
          <w:sz w:val="24"/>
        </w:rPr>
        <w:t>评定依据见下表：</w:t>
      </w:r>
    </w:p>
    <w:tbl>
      <w:tblPr>
        <w:tblStyle w:val="8"/>
        <w:tblW w:w="0" w:type="auto"/>
        <w:tblInd w:w="0" w:type="dxa"/>
        <w:tblLayout w:type="autofit"/>
        <w:tblCellMar>
          <w:top w:w="0" w:type="dxa"/>
          <w:left w:w="0" w:type="dxa"/>
          <w:bottom w:w="0" w:type="dxa"/>
          <w:right w:w="0" w:type="dxa"/>
        </w:tblCellMar>
      </w:tblPr>
      <w:tblGrid>
        <w:gridCol w:w="709"/>
        <w:gridCol w:w="1638"/>
        <w:gridCol w:w="1843"/>
        <w:gridCol w:w="805"/>
        <w:gridCol w:w="3306"/>
      </w:tblGrid>
      <w:tr>
        <w:tblPrEx>
          <w:tblCellMar>
            <w:top w:w="0" w:type="dxa"/>
            <w:left w:w="0" w:type="dxa"/>
            <w:bottom w:w="0" w:type="dxa"/>
            <w:right w:w="0" w:type="dxa"/>
          </w:tblCellMar>
        </w:tblPrEx>
        <w:trPr>
          <w:trHeight w:val="250" w:hRule="atLeast"/>
        </w:trPr>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项目</w:t>
            </w:r>
          </w:p>
        </w:tc>
        <w:tc>
          <w:tcPr>
            <w:tcW w:w="3481" w:type="dxa"/>
            <w:gridSpan w:val="2"/>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具体内容</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分值</w:t>
            </w:r>
          </w:p>
        </w:tc>
        <w:tc>
          <w:tcPr>
            <w:tcW w:w="3306"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备注</w:t>
            </w:r>
          </w:p>
        </w:tc>
      </w:tr>
      <w:tr>
        <w:tblPrEx>
          <w:tblCellMar>
            <w:top w:w="0" w:type="dxa"/>
            <w:left w:w="0" w:type="dxa"/>
            <w:bottom w:w="0" w:type="dxa"/>
            <w:right w:w="0" w:type="dxa"/>
          </w:tblCellMar>
        </w:tblPrEx>
        <w:trPr>
          <w:trHeight w:val="60" w:hRule="atLeast"/>
        </w:trPr>
        <w:tc>
          <w:tcPr>
            <w:tcW w:w="709"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line="68"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学术竞赛类活动</w:t>
            </w:r>
          </w:p>
        </w:tc>
        <w:tc>
          <w:tcPr>
            <w:tcW w:w="1638"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line="68"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国际、洲际、国家级获奖者</w:t>
            </w: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line="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line="60" w:lineRule="atLeas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3306"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1.以名次计奖的学科竞赛项目，获得第1-3名等同于一等奖；第4-6名等同于二等奖；第7-12名等同于三等奖；</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2.同一项目符合多项评审标准时，以最高得分为准；</w:t>
            </w:r>
          </w:p>
          <w:p>
            <w:pPr>
              <w:widowControl/>
              <w:spacing w:before="100" w:beforeAutospacing="1" w:after="100" w:afterAutospacing="1" w:line="60" w:lineRule="atLeas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3.团队参赛获奖加分原则上不超过5人。</w:t>
            </w:r>
          </w:p>
          <w:p>
            <w:pPr>
              <w:widowControl/>
              <w:spacing w:before="100" w:beforeAutospacing="1" w:after="100" w:afterAutospacing="1" w:line="60" w:lineRule="atLeas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4.奖项等级以实际证书为准。</w:t>
            </w:r>
          </w:p>
        </w:tc>
      </w:tr>
      <w:tr>
        <w:tblPrEx>
          <w:tblCellMar>
            <w:top w:w="0" w:type="dxa"/>
            <w:left w:w="0" w:type="dxa"/>
            <w:bottom w:w="0" w:type="dxa"/>
            <w:right w:w="0" w:type="dxa"/>
          </w:tblCellMar>
        </w:tblPrEx>
        <w:trPr>
          <w:trHeight w:val="19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8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三等奖/单项奖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32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鼓励奖/优胜奖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省(部)级获奖者</w:t>
            </w: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9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7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32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三等奖/单项奖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9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鼓励奖/优胜奖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8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学校级获奖者</w:t>
            </w: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8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三等奖/单项奖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802"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学院（系）、学园级(或其他学会、协会、行业等竞赛）获奖者</w:t>
            </w: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3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6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843"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c>
          <w:tcPr>
            <w:tcW w:w="805"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3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bl>
    <w:p>
      <w:pPr>
        <w:widowControl/>
        <w:adjustRightInd w:val="0"/>
        <w:snapToGrid w:val="0"/>
        <w:spacing w:line="276" w:lineRule="auto"/>
        <w:ind w:firstLine="480" w:firstLineChars="200"/>
        <w:jc w:val="left"/>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2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⑵</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 xml:space="preserve"> 科学研究类活动评定依据见下表：</w:t>
      </w:r>
    </w:p>
    <w:tbl>
      <w:tblPr>
        <w:tblStyle w:val="8"/>
        <w:tblW w:w="0" w:type="auto"/>
        <w:tblInd w:w="0" w:type="dxa"/>
        <w:tblLayout w:type="fixed"/>
        <w:tblCellMar>
          <w:top w:w="0" w:type="dxa"/>
          <w:left w:w="0" w:type="dxa"/>
          <w:bottom w:w="0" w:type="dxa"/>
          <w:right w:w="0" w:type="dxa"/>
        </w:tblCellMar>
      </w:tblPr>
      <w:tblGrid>
        <w:gridCol w:w="709"/>
        <w:gridCol w:w="398"/>
        <w:gridCol w:w="1166"/>
        <w:gridCol w:w="2268"/>
        <w:gridCol w:w="709"/>
        <w:gridCol w:w="2977"/>
      </w:tblGrid>
      <w:tr>
        <w:tblPrEx>
          <w:tblCellMar>
            <w:top w:w="0" w:type="dxa"/>
            <w:left w:w="0" w:type="dxa"/>
            <w:bottom w:w="0" w:type="dxa"/>
            <w:right w:w="0" w:type="dxa"/>
          </w:tblCellMar>
        </w:tblPrEx>
        <w:trPr>
          <w:trHeight w:val="33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项目</w:t>
            </w:r>
          </w:p>
        </w:tc>
        <w:tc>
          <w:tcPr>
            <w:tcW w:w="383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具体内容</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分值</w:t>
            </w:r>
          </w:p>
        </w:tc>
        <w:tc>
          <w:tcPr>
            <w:tcW w:w="2977"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备注</w:t>
            </w:r>
          </w:p>
        </w:tc>
      </w:tr>
      <w:tr>
        <w:tblPrEx>
          <w:tblCellMar>
            <w:top w:w="0" w:type="dxa"/>
            <w:left w:w="0" w:type="dxa"/>
            <w:bottom w:w="0" w:type="dxa"/>
            <w:right w:w="0" w:type="dxa"/>
          </w:tblCellMar>
        </w:tblPrEx>
        <w:trPr>
          <w:trHeight w:val="430" w:hRule="atLeast"/>
        </w:trPr>
        <w:tc>
          <w:tcPr>
            <w:tcW w:w="709"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科学研究类活动</w:t>
            </w:r>
          </w:p>
        </w:tc>
        <w:tc>
          <w:tcPr>
            <w:tcW w:w="398"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科研训练</w:t>
            </w:r>
          </w:p>
        </w:tc>
        <w:tc>
          <w:tcPr>
            <w:tcW w:w="1166"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完成普通科研训练计划</w:t>
            </w:r>
          </w:p>
        </w:tc>
        <w:tc>
          <w:tcPr>
            <w:tcW w:w="2268"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立项人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2977"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1.普通科研训练计划项目主要有SRTP、SQTP、NSEP等；</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2.优秀项目加分原则上不超过5人；</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3.同类项目每学年仅记一项。</w:t>
            </w:r>
          </w:p>
        </w:tc>
      </w:tr>
      <w:tr>
        <w:tblPrEx>
          <w:tblCellMar>
            <w:top w:w="0" w:type="dxa"/>
            <w:left w:w="0" w:type="dxa"/>
            <w:bottom w:w="0" w:type="dxa"/>
            <w:right w:w="0" w:type="dxa"/>
          </w:tblCellMar>
        </w:tblPrEx>
        <w:trPr>
          <w:trHeight w:val="43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3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2268"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学校、学院（系）、学园优秀项目</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省创项目</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立项人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continue"/>
            <w:tcBorders>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continue"/>
            <w:tcBorders>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优秀</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国创项目</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立项人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continue"/>
            <w:tcBorders>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3.5</w:t>
            </w:r>
          </w:p>
        </w:tc>
        <w:tc>
          <w:tcPr>
            <w:tcW w:w="2977"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6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166" w:type="dxa"/>
            <w:vMerge w:val="continue"/>
            <w:tcBorders>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优秀</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977"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8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创新发明</w:t>
            </w:r>
          </w:p>
        </w:tc>
        <w:tc>
          <w:tcPr>
            <w:tcW w:w="3434" w:type="dxa"/>
            <w:gridSpan w:val="2"/>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已授权的发明专利，排名第一专利发明人或设计人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2977"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1.指导老师第一作者，学生第二作者等同第一作者；</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2.第一、第二、第三、第四、第五及以后作者分别按照1.0、0.8、0.5、0.2、0.1的系数计算；</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3.研究成果均须以浙江大学为第一署名单位；</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4.期刊目录以浙江大学图书馆学术期刊导航发布的数据为准。</w:t>
            </w:r>
          </w:p>
        </w:tc>
      </w:tr>
      <w:tr>
        <w:tblPrEx>
          <w:tblCellMar>
            <w:top w:w="0" w:type="dxa"/>
            <w:left w:w="0" w:type="dxa"/>
            <w:bottom w:w="0" w:type="dxa"/>
            <w:right w:w="0" w:type="dxa"/>
          </w:tblCellMar>
        </w:tblPrEx>
        <w:trPr>
          <w:trHeight w:val="28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434" w:type="dxa"/>
            <w:gridSpan w:val="2"/>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已授权的实用新型和外观设计专利，排名第一的专利发明人或设计人</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rPr>
          <w:trHeight w:val="51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发表论文</w:t>
            </w:r>
          </w:p>
        </w:tc>
        <w:tc>
          <w:tcPr>
            <w:tcW w:w="3434" w:type="dxa"/>
            <w:gridSpan w:val="2"/>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SCI、SSCI收录期刊，第一作者</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54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434" w:type="dxa"/>
            <w:gridSpan w:val="2"/>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国内一级学术期刊，第一作者</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44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3434" w:type="dxa"/>
            <w:gridSpan w:val="2"/>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国内核心期刊，第一作者</w:t>
            </w:r>
          </w:p>
        </w:tc>
        <w:tc>
          <w:tcPr>
            <w:tcW w:w="7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bl>
    <w:p>
      <w:pPr>
        <w:widowControl/>
        <w:adjustRightInd w:val="0"/>
        <w:snapToGrid w:val="0"/>
        <w:spacing w:line="276" w:lineRule="auto"/>
        <w:ind w:firstLine="480" w:firstLineChars="200"/>
        <w:jc w:val="left"/>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3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⑶</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创业实践分评定依据见下表：</w:t>
      </w:r>
    </w:p>
    <w:tbl>
      <w:tblPr>
        <w:tblStyle w:val="8"/>
        <w:tblW w:w="0" w:type="auto"/>
        <w:tblInd w:w="0" w:type="dxa"/>
        <w:tblLayout w:type="autofit"/>
        <w:tblCellMar>
          <w:top w:w="0" w:type="dxa"/>
          <w:left w:w="0" w:type="dxa"/>
          <w:bottom w:w="0" w:type="dxa"/>
          <w:right w:w="0" w:type="dxa"/>
        </w:tblCellMar>
      </w:tblPr>
      <w:tblGrid>
        <w:gridCol w:w="709"/>
        <w:gridCol w:w="1309"/>
        <w:gridCol w:w="2030"/>
        <w:gridCol w:w="947"/>
        <w:gridCol w:w="3232"/>
      </w:tblGrid>
      <w:tr>
        <w:tblPrEx>
          <w:tblCellMar>
            <w:top w:w="0" w:type="dxa"/>
            <w:left w:w="0" w:type="dxa"/>
            <w:bottom w:w="0" w:type="dxa"/>
            <w:right w:w="0" w:type="dxa"/>
          </w:tblCellMar>
        </w:tblPrEx>
        <w:trPr>
          <w:trHeight w:val="45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项目</w:t>
            </w:r>
          </w:p>
        </w:tc>
        <w:tc>
          <w:tcPr>
            <w:tcW w:w="3339"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具体内容</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分值</w:t>
            </w:r>
          </w:p>
        </w:tc>
        <w:tc>
          <w:tcPr>
            <w:tcW w:w="32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b/>
                <w:bCs/>
                <w:kern w:val="0"/>
                <w:sz w:val="24"/>
              </w:rPr>
              <w:t>备注</w:t>
            </w:r>
          </w:p>
        </w:tc>
      </w:tr>
      <w:tr>
        <w:tblPrEx>
          <w:tblCellMar>
            <w:top w:w="0" w:type="dxa"/>
            <w:left w:w="0" w:type="dxa"/>
            <w:bottom w:w="0" w:type="dxa"/>
            <w:right w:w="0" w:type="dxa"/>
          </w:tblCellMar>
        </w:tblPrEx>
        <w:trPr>
          <w:trHeight w:val="670" w:hRule="atLeast"/>
        </w:trPr>
        <w:tc>
          <w:tcPr>
            <w:tcW w:w="709"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w:t>
            </w:r>
          </w:p>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业</w:t>
            </w:r>
          </w:p>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w:t>
            </w:r>
          </w:p>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践</w:t>
            </w:r>
          </w:p>
        </w:tc>
        <w:tc>
          <w:tcPr>
            <w:tcW w:w="1309"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就业实习</w:t>
            </w: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提供就业实习单位加盖公章的实习证明材料</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232"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同一学年，仅记一次，不重复累加。</w:t>
            </w:r>
          </w:p>
        </w:tc>
      </w:tr>
      <w:tr>
        <w:tblPrEx>
          <w:tblCellMar>
            <w:top w:w="0" w:type="dxa"/>
            <w:left w:w="0" w:type="dxa"/>
            <w:bottom w:w="0" w:type="dxa"/>
            <w:right w:w="0" w:type="dxa"/>
          </w:tblCellMar>
        </w:tblPrEx>
        <w:trPr>
          <w:trHeight w:val="527"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已经注册公司且融资成功</w:t>
            </w: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创始人</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232" w:type="dxa"/>
            <w:vMerge w:val="restart"/>
            <w:tcBorders>
              <w:top w:val="single" w:color="auto" w:sz="4" w:space="0"/>
              <w:left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1.创始人、联合创始人由所在公司提供加盖公章的证明材料；</w:t>
            </w:r>
          </w:p>
          <w:p>
            <w:pPr>
              <w:widowControl/>
              <w:spacing w:before="100" w:beforeAutospacing="1" w:after="100" w:afterAutospacing="1"/>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2.同一项目以最高得分为准。</w:t>
            </w:r>
          </w:p>
        </w:tc>
      </w:tr>
      <w:tr>
        <w:tblPrEx>
          <w:tblCellMar>
            <w:top w:w="0" w:type="dxa"/>
            <w:left w:w="0" w:type="dxa"/>
            <w:bottom w:w="0" w:type="dxa"/>
            <w:right w:w="0" w:type="dxa"/>
          </w:tblCellMar>
        </w:tblPrEx>
        <w:trPr>
          <w:trHeight w:val="301"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联合创始人</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r>
              <w:rPr>
                <w:rFonts w:hint="eastAsia" w:ascii="Times New Roman" w:hAnsi="Times New Roman" w:eastAsia="仿宋_GB2312" w:cs="Times New Roman"/>
                <w:kern w:val="0"/>
                <w:sz w:val="24"/>
                <w:lang w:val="en-US" w:eastAsia="zh-CN"/>
              </w:rPr>
              <w:t>.5</w:t>
            </w:r>
          </w:p>
        </w:tc>
        <w:tc>
          <w:tcPr>
            <w:tcW w:w="323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108"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核心成员</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w:t>
            </w:r>
          </w:p>
        </w:tc>
        <w:tc>
          <w:tcPr>
            <w:tcW w:w="323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710"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restart"/>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成立团队、有项目运营且入驻各类众创空间</w:t>
            </w: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创始人</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23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726"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联合创始人</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vAlign w:val="center"/>
          </w:tcPr>
          <w:p>
            <w:pPr>
              <w:widowControl/>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323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162"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restart"/>
            <w:tcBorders>
              <w:top w:val="single" w:color="auto" w:sz="4" w:space="0"/>
              <w:left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已经注册公司</w:t>
            </w: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创始人</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tcPr>
          <w:p>
            <w:pPr>
              <w:spacing w:before="100" w:beforeAutospacing="1" w:after="100" w:afterAutospacing="1"/>
              <w:jc w:val="center"/>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eastAsia="zh-CN"/>
              </w:rPr>
              <w:t>2</w:t>
            </w:r>
            <w:r>
              <w:rPr>
                <w:rFonts w:hint="eastAsia" w:ascii="Times New Roman" w:hAnsi="Times New Roman" w:eastAsia="仿宋_GB2312" w:cs="Times New Roman"/>
                <w:kern w:val="0"/>
                <w:sz w:val="24"/>
                <w:lang w:val="en-US" w:eastAsia="zh-CN"/>
              </w:rPr>
              <w:t>.5</w:t>
            </w:r>
          </w:p>
        </w:tc>
        <w:tc>
          <w:tcPr>
            <w:tcW w:w="323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200" w:hRule="atLeast"/>
        </w:trPr>
        <w:tc>
          <w:tcPr>
            <w:tcW w:w="709"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continue"/>
            <w:tcBorders>
              <w:left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_GB2312" w:cs="Times New Roman"/>
                <w:kern w:val="0"/>
                <w:sz w:val="24"/>
              </w:rPr>
            </w:pP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联合创始人</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232"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r>
        <w:tblPrEx>
          <w:tblCellMar>
            <w:top w:w="0" w:type="dxa"/>
            <w:left w:w="0" w:type="dxa"/>
            <w:bottom w:w="0" w:type="dxa"/>
            <w:right w:w="0" w:type="dxa"/>
          </w:tblCellMar>
        </w:tblPrEx>
        <w:trPr>
          <w:trHeight w:val="99" w:hRule="atLeast"/>
        </w:trPr>
        <w:tc>
          <w:tcPr>
            <w:tcW w:w="709"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c>
          <w:tcPr>
            <w:tcW w:w="1309" w:type="dxa"/>
            <w:vMerge w:val="continue"/>
            <w:tcBorders>
              <w:left w:val="single" w:color="auto" w:sz="4" w:space="0"/>
              <w:bottom w:val="single" w:color="auto" w:sz="4" w:space="0"/>
              <w:right w:val="single" w:color="auto" w:sz="4" w:space="0"/>
            </w:tcBorders>
            <w:vAlign w:val="center"/>
          </w:tcPr>
          <w:p>
            <w:pPr>
              <w:spacing w:before="100" w:beforeAutospacing="1" w:after="100" w:afterAutospacing="1"/>
              <w:jc w:val="center"/>
              <w:rPr>
                <w:rFonts w:hint="default" w:ascii="Times New Roman" w:hAnsi="Times New Roman" w:eastAsia="仿宋_GB2312" w:cs="Times New Roman"/>
                <w:kern w:val="0"/>
                <w:sz w:val="24"/>
              </w:rPr>
            </w:pPr>
          </w:p>
        </w:tc>
        <w:tc>
          <w:tcPr>
            <w:tcW w:w="2030"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核心成员</w:t>
            </w:r>
          </w:p>
        </w:tc>
        <w:tc>
          <w:tcPr>
            <w:tcW w:w="947" w:type="dxa"/>
            <w:tcBorders>
              <w:top w:val="single" w:color="auto" w:sz="4" w:space="0"/>
              <w:left w:val="single" w:color="auto" w:sz="4" w:space="0"/>
              <w:bottom w:val="single" w:color="auto" w:sz="4" w:space="0"/>
              <w:right w:val="single" w:color="auto" w:sz="4" w:space="0"/>
            </w:tcBorders>
            <w:tcMar>
              <w:top w:w="0" w:type="dxa"/>
              <w:left w:w="79" w:type="dxa"/>
              <w:bottom w:w="0" w:type="dxa"/>
              <w:right w:w="79" w:type="dxa"/>
            </w:tcMar>
          </w:tcPr>
          <w:p>
            <w:pPr>
              <w:spacing w:before="100" w:beforeAutospacing="1" w:after="100" w:afterAutospacing="1"/>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.5</w:t>
            </w:r>
          </w:p>
        </w:tc>
        <w:tc>
          <w:tcPr>
            <w:tcW w:w="3232"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4"/>
              </w:rPr>
            </w:pPr>
          </w:p>
        </w:tc>
      </w:tr>
    </w:tbl>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创新创业分=学术竞赛类活动分+科学研究类分+创业实践分。</w:t>
      </w:r>
    </w:p>
    <w:p>
      <w:pPr>
        <w:widowControl/>
        <w:adjustRightInd w:val="0"/>
        <w:snapToGrid w:val="0"/>
        <w:spacing w:line="276" w:lineRule="auto"/>
        <w:ind w:firstLine="482" w:firstLineChars="200"/>
        <w:jc w:val="left"/>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2. 公益服务</w:t>
      </w:r>
      <w:r>
        <w:rPr>
          <w:rFonts w:hint="default" w:ascii="Times New Roman" w:hAnsi="Times New Roman" w:eastAsia="仿宋_GB2312" w:cs="Times New Roman"/>
          <w:b/>
          <w:sz w:val="24"/>
        </w:rPr>
        <w:t>标兵记实</w:t>
      </w:r>
    </w:p>
    <w:p>
      <w:pPr>
        <w:widowControl/>
        <w:adjustRightInd w:val="0"/>
        <w:snapToGrid w:val="0"/>
        <w:spacing w:line="276" w:lineRule="auto"/>
        <w:ind w:firstLine="480" w:firstLineChars="200"/>
        <w:jc w:val="left"/>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rPr>
        <w:t>公益服务标兵记实依据每学年志愿者小时数、社会实践、其他公益事迹及社会服务项目。</w:t>
      </w:r>
    </w:p>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1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⑴</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志愿者服务分评定依据如下：当学年志愿者小时数超过25小时计基准分0.5；超过25小时且不满150小时的，每满25小时额外加0.5分；超过150小时的，每满25小时额外加0.25分；志愿者服务分最高不超过5分。</w:t>
      </w:r>
    </w:p>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2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⑵</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社会实践分评定依据见下表：</w:t>
      </w:r>
    </w:p>
    <w:tbl>
      <w:tblPr>
        <w:tblStyle w:val="9"/>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112"/>
        <w:gridCol w:w="2275"/>
        <w:gridCol w:w="701"/>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项目</w:t>
            </w:r>
          </w:p>
        </w:tc>
        <w:tc>
          <w:tcPr>
            <w:tcW w:w="4387" w:type="dxa"/>
            <w:gridSpan w:val="2"/>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具体内容</w:t>
            </w:r>
          </w:p>
        </w:tc>
        <w:tc>
          <w:tcPr>
            <w:tcW w:w="70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分数</w:t>
            </w:r>
          </w:p>
        </w:tc>
        <w:tc>
          <w:tcPr>
            <w:tcW w:w="2278"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ind w:firstLine="482" w:firstLineChars="200"/>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08" w:type="dxa"/>
            <w:vMerge w:val="restart"/>
            <w:tcBorders>
              <w:top w:val="single" w:color="auto" w:sz="4" w:space="0"/>
              <w:left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立项</w:t>
            </w:r>
          </w:p>
        </w:tc>
        <w:tc>
          <w:tcPr>
            <w:tcW w:w="2112" w:type="dxa"/>
            <w:vMerge w:val="restart"/>
            <w:tcBorders>
              <w:top w:val="single" w:color="auto" w:sz="4" w:space="0"/>
              <w:left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申报立项获批，并通过立项答辩，且顺利完成社会实践；</w:t>
            </w: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非重点</w:t>
            </w:r>
          </w:p>
        </w:tc>
        <w:tc>
          <w:tcPr>
            <w:tcW w:w="701" w:type="dxa"/>
            <w:tcBorders>
              <w:top w:val="single" w:color="auto" w:sz="4" w:space="0"/>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w:t>
            </w:r>
          </w:p>
        </w:tc>
        <w:tc>
          <w:tcPr>
            <w:tcW w:w="2278" w:type="dxa"/>
            <w:vMerge w:val="restart"/>
            <w:tcBorders>
              <w:top w:val="single" w:color="auto" w:sz="4" w:space="0"/>
              <w:left w:val="single" w:color="auto" w:sz="4" w:space="0"/>
              <w:right w:val="single" w:color="auto" w:sz="4" w:space="0"/>
            </w:tcBorders>
            <w:vAlign w:val="center"/>
          </w:tcPr>
          <w:p>
            <w:pPr>
              <w:widowControl/>
              <w:adjustRightInd w:val="0"/>
              <w:snapToGrid w:val="0"/>
              <w:spacing w:line="276" w:lineRule="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一次评奖评优中，同一学生参加寒暑假各项社会实践只计最高加分一次。</w:t>
            </w:r>
          </w:p>
          <w:p>
            <w:pPr>
              <w:widowControl/>
              <w:adjustRightInd w:val="0"/>
              <w:snapToGrid w:val="0"/>
              <w:spacing w:line="276" w:lineRule="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同一项目符合多项评审标准时以最高荣誉为准。</w:t>
            </w:r>
          </w:p>
          <w:p>
            <w:pPr>
              <w:widowControl/>
              <w:adjustRightInd w:val="0"/>
              <w:snapToGrid w:val="0"/>
              <w:spacing w:line="276" w:lineRule="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团体项目加分原则上不超过10人。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院级重点</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2278" w:type="dxa"/>
            <w:vMerge w:val="continue"/>
            <w:tcBorders>
              <w:left w:val="single" w:color="auto" w:sz="4" w:space="0"/>
              <w:right w:val="single" w:color="auto" w:sz="4" w:space="0"/>
            </w:tcBorders>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校级一般</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1.25</w:t>
            </w:r>
          </w:p>
        </w:tc>
        <w:tc>
          <w:tcPr>
            <w:tcW w:w="2278" w:type="dxa"/>
            <w:vMerge w:val="continue"/>
            <w:tcBorders>
              <w:left w:val="single" w:color="auto" w:sz="4" w:space="0"/>
              <w:right w:val="single" w:color="auto" w:sz="4" w:space="0"/>
            </w:tcBorders>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校级重点</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1.5</w:t>
            </w:r>
          </w:p>
        </w:tc>
        <w:tc>
          <w:tcPr>
            <w:tcW w:w="2278" w:type="dxa"/>
            <w:vMerge w:val="continue"/>
            <w:tcBorders>
              <w:left w:val="single" w:color="auto" w:sz="4" w:space="0"/>
              <w:right w:val="single" w:color="auto" w:sz="4" w:space="0"/>
            </w:tcBorders>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青知计划</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2278" w:type="dxa"/>
            <w:vMerge w:val="continue"/>
            <w:tcBorders>
              <w:left w:val="single" w:color="auto" w:sz="4" w:space="0"/>
              <w:right w:val="single" w:color="auto" w:sz="4" w:space="0"/>
            </w:tcBorders>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展翅计划</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278" w:type="dxa"/>
            <w:vMerge w:val="continue"/>
            <w:tcBorders>
              <w:left w:val="single" w:color="auto" w:sz="4" w:space="0"/>
              <w:right w:val="single" w:color="auto" w:sz="4" w:space="0"/>
            </w:tcBorders>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008" w:type="dxa"/>
            <w:vMerge w:val="restart"/>
            <w:tcBorders>
              <w:top w:val="single" w:color="auto" w:sz="4" w:space="0"/>
              <w:left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团队</w:t>
            </w:r>
          </w:p>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表彰</w:t>
            </w:r>
          </w:p>
        </w:tc>
        <w:tc>
          <w:tcPr>
            <w:tcW w:w="2112" w:type="dxa"/>
            <w:vMerge w:val="restart"/>
            <w:tcBorders>
              <w:top w:val="single" w:color="auto" w:sz="4" w:space="0"/>
              <w:left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团队结项获十佳团队、优秀团队等荣誉</w:t>
            </w: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院级优秀</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w:t>
            </w:r>
          </w:p>
        </w:tc>
        <w:tc>
          <w:tcPr>
            <w:tcW w:w="2278" w:type="dxa"/>
            <w:vMerge w:val="continue"/>
            <w:tcBorders>
              <w:left w:val="single" w:color="auto" w:sz="4" w:space="0"/>
              <w:right w:val="single" w:color="auto" w:sz="4" w:space="0"/>
            </w:tcBorders>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院级三等奖</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院级二等奖</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院级一等奖</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校级优秀</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校十佳</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省级优秀</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国家级优秀</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w:t>
            </w:r>
          </w:p>
        </w:tc>
        <w:tc>
          <w:tcPr>
            <w:tcW w:w="227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1008" w:type="dxa"/>
            <w:vMerge w:val="restart"/>
            <w:tcBorders>
              <w:left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个人</w:t>
            </w:r>
          </w:p>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表彰</w:t>
            </w:r>
          </w:p>
        </w:tc>
        <w:tc>
          <w:tcPr>
            <w:tcW w:w="2112" w:type="dxa"/>
            <w:vMerge w:val="restart"/>
            <w:tcBorders>
              <w:left w:val="single" w:color="auto" w:sz="4" w:space="0"/>
              <w:right w:val="single" w:color="auto" w:sz="4" w:space="0"/>
            </w:tcBorders>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个人获先进个人、优秀论文等荣誉</w:t>
            </w: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校级先进个人/优秀论文</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2278" w:type="dxa"/>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 w:hRule="atLeast"/>
          <w:jc w:val="center"/>
        </w:trPr>
        <w:tc>
          <w:tcPr>
            <w:tcW w:w="1008"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112" w:type="dxa"/>
            <w:vMerge w:val="continue"/>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2275"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院级先进个人/优秀论文</w:t>
            </w:r>
          </w:p>
        </w:tc>
        <w:tc>
          <w:tcPr>
            <w:tcW w:w="701" w:type="dxa"/>
            <w:tcBorders>
              <w:left w:val="single" w:color="auto" w:sz="4" w:space="0"/>
              <w:right w:val="single" w:color="auto" w:sz="4" w:space="0"/>
            </w:tcBorders>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2278" w:type="dxa"/>
            <w:tcBorders>
              <w:left w:val="single" w:color="auto" w:sz="4" w:space="0"/>
              <w:right w:val="single" w:color="auto" w:sz="4" w:space="0"/>
            </w:tcBorders>
            <w:vAlign w:val="center"/>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bl>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3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⑶</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其他公益事迹及社会服务项目，由本人发起申请，学院测评小组审核并公示加分（每人申报项不多于3项）；</w:t>
      </w:r>
    </w:p>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公益服务分=志愿者服务分+社会实践分+其他项加分。</w:t>
      </w:r>
    </w:p>
    <w:p>
      <w:pPr>
        <w:widowControl/>
        <w:adjustRightInd w:val="0"/>
        <w:snapToGrid w:val="0"/>
        <w:spacing w:line="276" w:lineRule="auto"/>
        <w:ind w:firstLine="482" w:firstLineChars="200"/>
        <w:jc w:val="left"/>
        <w:rPr>
          <w:rFonts w:hint="default" w:ascii="Times New Roman" w:hAnsi="Times New Roman" w:eastAsia="仿宋_GB2312" w:cs="Times New Roman"/>
          <w:b/>
          <w:sz w:val="24"/>
        </w:rPr>
      </w:pPr>
      <w:r>
        <w:rPr>
          <w:rFonts w:hint="default" w:ascii="Times New Roman" w:hAnsi="Times New Roman" w:eastAsia="仿宋_GB2312" w:cs="Times New Roman"/>
          <w:b/>
          <w:kern w:val="0"/>
          <w:sz w:val="24"/>
        </w:rPr>
        <w:t>3. 对外交流</w:t>
      </w:r>
      <w:r>
        <w:rPr>
          <w:rFonts w:hint="default" w:ascii="Times New Roman" w:hAnsi="Times New Roman" w:eastAsia="仿宋_GB2312" w:cs="Times New Roman"/>
          <w:b/>
          <w:sz w:val="24"/>
        </w:rPr>
        <w:t>标兵记实</w:t>
      </w:r>
    </w:p>
    <w:p>
      <w:pPr>
        <w:widowControl/>
        <w:adjustRightInd w:val="0"/>
        <w:snapToGrid w:val="0"/>
        <w:spacing w:line="276" w:lineRule="auto"/>
        <w:ind w:firstLine="480" w:firstLineChars="200"/>
        <w:jc w:val="left"/>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rPr>
        <w:t>对外交流标兵记实依据包括境内外交流、对外展现公管学子风貌等内容。</w:t>
      </w:r>
    </w:p>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1 \* GB2</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sz w:val="24"/>
        </w:rPr>
        <w:t>⑴</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kern w:val="0"/>
          <w:sz w:val="24"/>
        </w:rPr>
        <w:t>境内外交流分：参加学校各部门或院系组织的境内外交流，分数评定依据如下表（第四课堂相关分数另行申报）：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7"/>
        <w:gridCol w:w="3839"/>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57" w:type="dxa"/>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类别</w:t>
            </w: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情况及分数</w:t>
            </w:r>
          </w:p>
        </w:tc>
        <w:tc>
          <w:tcPr>
            <w:tcW w:w="2135"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2257" w:type="dxa"/>
            <w:vMerge w:val="restart"/>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交流时间</w:t>
            </w:r>
          </w:p>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（以项目时间为准）</w:t>
            </w: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不到2周（含）1分</w:t>
            </w:r>
          </w:p>
        </w:tc>
        <w:tc>
          <w:tcPr>
            <w:tcW w:w="2135" w:type="dxa"/>
            <w:vMerge w:val="restart"/>
            <w:vAlign w:val="center"/>
          </w:tcPr>
          <w:p>
            <w:pPr>
              <w:widowControl/>
              <w:adjustRightInd w:val="0"/>
              <w:snapToGrid w:val="0"/>
              <w:spacing w:line="276" w:lineRule="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不同项目之间可以累加。</w:t>
            </w:r>
          </w:p>
          <w:p>
            <w:pPr>
              <w:widowControl/>
              <w:adjustRightInd w:val="0"/>
              <w:snapToGrid w:val="0"/>
              <w:spacing w:line="276" w:lineRule="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表格内同一类别加分不累加。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2257" w:type="dxa"/>
            <w:vMerge w:val="continue"/>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2周到4周（含）2分</w:t>
            </w:r>
          </w:p>
        </w:tc>
        <w:tc>
          <w:tcPr>
            <w:tcW w:w="2135"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5" w:hRule="atLeast"/>
          <w:jc w:val="center"/>
        </w:trPr>
        <w:tc>
          <w:tcPr>
            <w:tcW w:w="2257" w:type="dxa"/>
            <w:vMerge w:val="continue"/>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4周到12周（含）5分</w:t>
            </w:r>
          </w:p>
        </w:tc>
        <w:tc>
          <w:tcPr>
            <w:tcW w:w="2135"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2257" w:type="dxa"/>
            <w:vMerge w:val="continue"/>
            <w:vAlign w:val="center"/>
          </w:tcPr>
          <w:p>
            <w:pPr>
              <w:widowControl/>
              <w:adjustRightInd w:val="0"/>
              <w:snapToGrid w:val="0"/>
              <w:spacing w:line="276" w:lineRule="auto"/>
              <w:ind w:firstLine="480" w:firstLineChars="200"/>
              <w:jc w:val="center"/>
              <w:rPr>
                <w:rFonts w:hint="default" w:ascii="Times New Roman" w:hAnsi="Times New Roman" w:eastAsia="仿宋_GB2312" w:cs="Times New Roman"/>
                <w:kern w:val="0"/>
                <w:sz w:val="24"/>
              </w:rPr>
            </w:pP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超过12周10分</w:t>
            </w:r>
          </w:p>
        </w:tc>
        <w:tc>
          <w:tcPr>
            <w:tcW w:w="2135"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2257" w:type="dxa"/>
            <w:vMerge w:val="restart"/>
            <w:vAlign w:val="center"/>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交流种类</w:t>
            </w: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跨文化交流类1分</w:t>
            </w:r>
          </w:p>
        </w:tc>
        <w:tc>
          <w:tcPr>
            <w:tcW w:w="2135"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2257"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交换生类2分</w:t>
            </w:r>
          </w:p>
        </w:tc>
        <w:tc>
          <w:tcPr>
            <w:tcW w:w="2135"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2257"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c>
          <w:tcPr>
            <w:tcW w:w="3839" w:type="dxa"/>
          </w:tcPr>
          <w:p>
            <w:pPr>
              <w:widowControl/>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科研训练类4分</w:t>
            </w:r>
          </w:p>
        </w:tc>
        <w:tc>
          <w:tcPr>
            <w:tcW w:w="2135" w:type="dxa"/>
            <w:vMerge w:val="continue"/>
          </w:tcPr>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tc>
      </w:tr>
    </w:tbl>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2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⑵</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风貌展现分：对外展现学院学生风貌，并产生积极影响的，如担任项目主要负责人或参加比赛等。由学生个人进行申报，学院审核并公示加分（每人申报不多于3项）；</w:t>
      </w:r>
    </w:p>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对外交流分=境内外交流分+风貌展现分。</w:t>
      </w:r>
    </w:p>
    <w:p>
      <w:pPr>
        <w:autoSpaceDE w:val="0"/>
        <w:autoSpaceDN w:val="0"/>
        <w:adjustRightInd w:val="0"/>
        <w:snapToGrid w:val="0"/>
        <w:spacing w:line="276" w:lineRule="auto"/>
        <w:ind w:firstLine="561"/>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4. 文体活动</w:t>
      </w:r>
      <w:r>
        <w:rPr>
          <w:rFonts w:hint="default" w:ascii="Times New Roman" w:hAnsi="Times New Roman" w:eastAsia="仿宋_GB2312" w:cs="Times New Roman"/>
          <w:b/>
          <w:sz w:val="24"/>
        </w:rPr>
        <w:t>标兵记实</w:t>
      </w:r>
    </w:p>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文体活动标兵记实依据包括各类文体活动与竞赛。其中体育类包括田径类、球类、棋牌类、魔方类、电子竞技类等，文艺类包括歌唱类、舞蹈类、主持人类等。文体活动满足第二三课堂加分要求的可另行申报二三课堂分。</w:t>
      </w:r>
    </w:p>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1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⑴</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体育项目评定依据见下表：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01"/>
        <w:gridCol w:w="1417"/>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级别</w:t>
            </w:r>
          </w:p>
        </w:tc>
        <w:tc>
          <w:tcPr>
            <w:tcW w:w="15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类别</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分数</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9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w:t>
            </w:r>
          </w:p>
        </w:tc>
        <w:tc>
          <w:tcPr>
            <w:tcW w:w="150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春季、夏季线上运动会</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0.25/每项</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前3名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秋季运动会，三好杯系列赛</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0.5/每项</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7至16名/三等奖</w:t>
            </w:r>
          </w:p>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（限三好杯等团体赛）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4至6名/二等奖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前3名/一等奖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其他</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0-3</w:t>
            </w:r>
          </w:p>
        </w:tc>
        <w:tc>
          <w:tcPr>
            <w:tcW w:w="3994" w:type="dxa"/>
            <w:tcBorders>
              <w:top w:val="single" w:color="auto" w:sz="4" w:space="0"/>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获奖人员申报，学院测评小组并公示加分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493"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省级</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1/每项</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restart"/>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国家级</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2/每项</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3994" w:type="dxa"/>
            <w:tcBorders>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3994" w:type="dxa"/>
            <w:tcBorders>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r>
    </w:tbl>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2 \* GB2</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rPr>
        <w:t>⑵</w:t>
      </w:r>
      <w:r>
        <w:rPr>
          <w:rFonts w:hint="default" w:ascii="Times New Roman" w:hAnsi="Times New Roman" w:eastAsia="仿宋_GB2312" w:cs="Times New Roman"/>
          <w:kern w:val="0"/>
          <w:sz w:val="24"/>
        </w:rPr>
        <w:fldChar w:fldCharType="end"/>
      </w:r>
      <w:r>
        <w:rPr>
          <w:rFonts w:hint="default" w:ascii="Times New Roman" w:hAnsi="Times New Roman" w:eastAsia="仿宋_GB2312" w:cs="Times New Roman"/>
          <w:kern w:val="0"/>
          <w:sz w:val="24"/>
        </w:rPr>
        <w:t>文艺项目评定依据见下表：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01"/>
        <w:gridCol w:w="1417"/>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级别</w:t>
            </w:r>
          </w:p>
        </w:tc>
        <w:tc>
          <w:tcPr>
            <w:tcW w:w="1501"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类别</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分数</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b/>
                <w:kern w:val="0"/>
                <w:sz w:val="24"/>
              </w:rPr>
            </w:pPr>
            <w:r>
              <w:rPr>
                <w:rFonts w:hint="default" w:ascii="Times New Roman" w:hAnsi="Times New Roman" w:eastAsia="仿宋_GB2312" w:cs="Times New Roman"/>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2493"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院级</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0.25/每项</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2493"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0.75</w:t>
            </w:r>
            <w:r>
              <w:rPr>
                <w:rFonts w:hint="default" w:ascii="Times New Roman" w:hAnsi="Times New Roman" w:eastAsia="仿宋_GB2312" w:cs="Times New Roman"/>
                <w:kern w:val="0"/>
                <w:sz w:val="24"/>
              </w:rPr>
              <w:t>/每项</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前3名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 w:hRule="atLeast"/>
          <w:jc w:val="center"/>
        </w:trPr>
        <w:tc>
          <w:tcPr>
            <w:tcW w:w="992"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276" w:lineRule="auto"/>
              <w:ind w:firstLine="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校级</w:t>
            </w:r>
          </w:p>
        </w:tc>
        <w:tc>
          <w:tcPr>
            <w:tcW w:w="150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十佳歌手、舞蹈大赛等等比赛</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0.5/每项</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7至16名/三等奖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4至6名/二等奖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994"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前3名/一等奖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tc>
        <w:tc>
          <w:tcPr>
            <w:tcW w:w="15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其他</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0-3</w:t>
            </w:r>
          </w:p>
        </w:tc>
        <w:tc>
          <w:tcPr>
            <w:tcW w:w="3994" w:type="dxa"/>
            <w:tcBorders>
              <w:top w:val="single" w:color="auto" w:sz="4" w:space="0"/>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获奖人员申报，学院测评小组并公示加分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493"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省级</w:t>
            </w:r>
          </w:p>
        </w:tc>
        <w:tc>
          <w:tcPr>
            <w:tcW w:w="141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1/每项</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restart"/>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国家级</w:t>
            </w: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2/每项</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参与项目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3994" w:type="dxa"/>
            <w:tcBorders>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3994" w:type="dxa"/>
            <w:tcBorders>
              <w:left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93"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3994" w:type="dxa"/>
            <w:tcBorders>
              <w:left w:val="single" w:color="auto" w:sz="4" w:space="0"/>
              <w:bottom w:val="single" w:color="auto" w:sz="4" w:space="0"/>
              <w:right w:val="single" w:color="auto" w:sz="4" w:space="0"/>
            </w:tcBorders>
          </w:tcPr>
          <w:p>
            <w:pPr>
              <w:autoSpaceDE w:val="0"/>
              <w:autoSpaceDN w:val="0"/>
              <w:adjustRightInd w:val="0"/>
              <w:snapToGrid w:val="0"/>
              <w:spacing w:line="276" w:lineRule="auto"/>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特等奖</w:t>
            </w:r>
          </w:p>
        </w:tc>
      </w:tr>
    </w:tbl>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文体活动分=体育项目分+文艺项目分。</w:t>
      </w:r>
    </w:p>
    <w:p>
      <w:pPr>
        <w:autoSpaceDE w:val="0"/>
        <w:autoSpaceDN w:val="0"/>
        <w:adjustRightInd w:val="0"/>
        <w:snapToGrid w:val="0"/>
        <w:spacing w:line="276" w:lineRule="auto"/>
        <w:ind w:firstLine="561"/>
        <w:rPr>
          <w:rFonts w:hint="default" w:ascii="Times New Roman" w:hAnsi="Times New Roman" w:eastAsia="仿宋_GB2312" w:cs="Times New Roman"/>
          <w:kern w:val="0"/>
          <w:sz w:val="24"/>
        </w:rPr>
      </w:pPr>
    </w:p>
    <w:p>
      <w:pPr>
        <w:autoSpaceDE w:val="0"/>
        <w:autoSpaceDN w:val="0"/>
        <w:adjustRightInd w:val="0"/>
        <w:snapToGrid w:val="0"/>
        <w:spacing w:line="276" w:lineRule="auto"/>
        <w:ind w:firstLine="561"/>
        <w:rPr>
          <w:rFonts w:hint="default" w:ascii="Times New Roman" w:hAnsi="Times New Roman" w:eastAsia="仿宋_GB2312" w:cs="Times New Roman"/>
          <w:b/>
          <w:sz w:val="24"/>
        </w:rPr>
      </w:pPr>
      <w:r>
        <w:rPr>
          <w:rFonts w:hint="default" w:ascii="Times New Roman" w:hAnsi="Times New Roman" w:eastAsia="仿宋_GB2312" w:cs="Times New Roman"/>
          <w:b/>
          <w:sz w:val="24"/>
        </w:rPr>
        <w:t>5. 社会工作标兵记实</w:t>
      </w:r>
    </w:p>
    <w:p>
      <w:pPr>
        <w:autoSpaceDE w:val="0"/>
        <w:autoSpaceDN w:val="0"/>
        <w:adjustRightInd w:val="0"/>
        <w:snapToGrid w:val="0"/>
        <w:spacing w:line="276" w:lineRule="auto"/>
        <w:ind w:firstLine="561"/>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1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⑴</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 xml:space="preserve"> 党支部书记（正副）、</w:t>
      </w:r>
      <w:r>
        <w:rPr>
          <w:rFonts w:hint="eastAsia" w:ascii="Times New Roman" w:hAnsi="Times New Roman" w:eastAsia="仿宋_GB2312" w:cs="Times New Roman"/>
          <w:color w:val="000000"/>
          <w:kern w:val="0"/>
          <w:sz w:val="24"/>
          <w:lang w:val="en-US" w:eastAsia="zh-CN"/>
        </w:rPr>
        <w:t>兼职</w:t>
      </w:r>
      <w:r>
        <w:rPr>
          <w:rFonts w:hint="default" w:ascii="Times New Roman" w:hAnsi="Times New Roman" w:eastAsia="仿宋_GB2312" w:cs="Times New Roman"/>
          <w:color w:val="000000"/>
          <w:kern w:val="0"/>
          <w:sz w:val="24"/>
        </w:rPr>
        <w:t>团委副书记、兼职辅导员、学院学生党员素质发展中心主任团</w:t>
      </w:r>
      <w:r>
        <w:rPr>
          <w:rFonts w:hint="eastAsia"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团总支书记处、学生会主席团</w:t>
      </w:r>
      <w:r>
        <w:rPr>
          <w:rFonts w:hint="default" w:ascii="Times New Roman" w:hAnsi="Times New Roman" w:eastAsia="仿宋_GB2312" w:cs="Times New Roman"/>
          <w:color w:val="000000"/>
          <w:kern w:val="0"/>
          <w:sz w:val="24"/>
        </w:rPr>
        <w:t>以及展翅计划、青知计划团队核心负责人和学校其他学生组织主要负责人的考评由指导老师负责。</w:t>
      </w:r>
    </w:p>
    <w:p>
      <w:pPr>
        <w:autoSpaceDE w:val="0"/>
        <w:autoSpaceDN w:val="0"/>
        <w:adjustRightInd w:val="0"/>
        <w:snapToGrid w:val="0"/>
        <w:spacing w:line="276" w:lineRule="auto"/>
        <w:ind w:firstLine="561"/>
        <w:rPr>
          <w:rFonts w:hint="default" w:ascii="Times New Roman" w:hAnsi="Times New Roman" w:eastAsia="仿宋_GB2312" w:cs="Times New Roman"/>
          <w:b/>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2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⑵</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班长、团支书及其他班委成员考评由班主任负责，班级指导员考评由学院团委负责。</w:t>
      </w:r>
    </w:p>
    <w:p>
      <w:pPr>
        <w:autoSpaceDE w:val="0"/>
        <w:autoSpaceDN w:val="0"/>
        <w:adjustRightInd w:val="0"/>
        <w:snapToGrid w:val="0"/>
        <w:spacing w:line="276" w:lineRule="auto"/>
        <w:ind w:firstLine="561"/>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3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⑶</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党支部支委考评等级由学生党建工作小组基于党支书以及学生党员素质发展中心的考察意见综合确定。</w:t>
      </w:r>
    </w:p>
    <w:p>
      <w:pPr>
        <w:autoSpaceDE w:val="0"/>
        <w:autoSpaceDN w:val="0"/>
        <w:adjustRightInd w:val="0"/>
        <w:snapToGrid w:val="0"/>
        <w:spacing w:line="276" w:lineRule="auto"/>
        <w:ind w:firstLine="561"/>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4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⑷</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学院社团、学生组织各部门部长（正副）考评依据负责人意见，由指导老师负责。</w:t>
      </w:r>
    </w:p>
    <w:p>
      <w:pPr>
        <w:autoSpaceDE w:val="0"/>
        <w:autoSpaceDN w:val="0"/>
        <w:adjustRightInd w:val="0"/>
        <w:snapToGrid w:val="0"/>
        <w:spacing w:line="276" w:lineRule="auto"/>
        <w:ind w:firstLine="561"/>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5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⑸</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学院学生组织各部门干事考评由该部门部长负责，报指导老师最终通过。</w:t>
      </w:r>
    </w:p>
    <w:p>
      <w:pPr>
        <w:autoSpaceDE w:val="0"/>
        <w:autoSpaceDN w:val="0"/>
        <w:adjustRightInd w:val="0"/>
        <w:snapToGrid w:val="0"/>
        <w:spacing w:line="276" w:lineRule="auto"/>
        <w:ind w:firstLine="561"/>
        <w:rPr>
          <w:rFonts w:hint="default" w:ascii="Times New Roman" w:hAnsi="Times New Roman" w:eastAsia="仿宋_GB2312" w:cs="Times New Roman"/>
          <w:b/>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6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⑹</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校院两级学生组织（校级仅限</w:t>
      </w:r>
      <w:r>
        <w:rPr>
          <w:rFonts w:hint="eastAsia" w:ascii="Times New Roman" w:hAnsi="Times New Roman" w:eastAsia="仿宋_GB2312" w:cs="Times New Roman"/>
          <w:color w:val="000000"/>
          <w:kern w:val="0"/>
          <w:sz w:val="24"/>
          <w:lang w:val="en-US" w:eastAsia="zh-CN"/>
        </w:rPr>
        <w:t>校部机关、</w:t>
      </w:r>
      <w:r>
        <w:rPr>
          <w:rFonts w:hint="default" w:ascii="Times New Roman" w:hAnsi="Times New Roman" w:eastAsia="仿宋_GB2312" w:cs="Times New Roman"/>
          <w:color w:val="000000"/>
          <w:kern w:val="0"/>
          <w:sz w:val="24"/>
        </w:rPr>
        <w:t>校团委</w:t>
      </w:r>
      <w:r>
        <w:rPr>
          <w:rFonts w:hint="eastAsia" w:ascii="Times New Roman" w:hAnsi="Times New Roman" w:eastAsia="仿宋_GB2312" w:cs="Times New Roman"/>
          <w:color w:val="000000"/>
          <w:kern w:val="0"/>
          <w:sz w:val="24"/>
          <w:lang w:val="en-US" w:eastAsia="zh-CN"/>
        </w:rPr>
        <w:t>下属的学生组织）</w:t>
      </w:r>
      <w:r>
        <w:rPr>
          <w:rFonts w:hint="default" w:ascii="Times New Roman" w:hAnsi="Times New Roman" w:eastAsia="仿宋_GB2312" w:cs="Times New Roman"/>
          <w:color w:val="000000"/>
          <w:kern w:val="0"/>
          <w:sz w:val="24"/>
        </w:rPr>
        <w:t>成员考评由所在组织逐级进行考评，并将考评结果加盖组织公章反馈至学院。</w:t>
      </w:r>
    </w:p>
    <w:p>
      <w:pPr>
        <w:autoSpaceDE w:val="0"/>
        <w:autoSpaceDN w:val="0"/>
        <w:adjustRightInd w:val="0"/>
        <w:snapToGrid w:val="0"/>
        <w:spacing w:line="276" w:lineRule="auto"/>
        <w:ind w:firstLine="561"/>
        <w:rPr>
          <w:rFonts w:hint="default" w:ascii="Times New Roman" w:hAnsi="Times New Roman" w:eastAsia="仿宋_GB2312" w:cs="Times New Roman"/>
          <w:b/>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7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⑺</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若个人同时担任多项学生干部工作，最多可申报三项学生工作，其中第一项按系数1计算，第二项按系数0.5计算，第三项按系数0.2计算。若个人同时拥有多项荣誉，最多可申报三项荣誉，其中第一项按系数1计算，第二项按系数0.5计算，第三项按系数0.2计算。</w:t>
      </w:r>
    </w:p>
    <w:p>
      <w:pPr>
        <w:autoSpaceDE w:val="0"/>
        <w:autoSpaceDN w:val="0"/>
        <w:adjustRightInd w:val="0"/>
        <w:snapToGrid w:val="0"/>
        <w:spacing w:line="276" w:lineRule="auto"/>
        <w:ind w:firstLine="561"/>
        <w:rPr>
          <w:rFonts w:hint="default" w:ascii="Times New Roman" w:hAnsi="Times New Roman" w:eastAsia="仿宋_GB2312" w:cs="Times New Roman"/>
          <w:b/>
          <w:sz w:val="24"/>
        </w:rPr>
      </w:pPr>
      <w:r>
        <w:rPr>
          <w:rFonts w:hint="default" w:ascii="Times New Roman" w:hAnsi="Times New Roman" w:eastAsia="仿宋_GB2312" w:cs="Times New Roman"/>
          <w:color w:val="000000"/>
          <w:kern w:val="0"/>
          <w:sz w:val="24"/>
        </w:rPr>
        <w:fldChar w:fldCharType="begin"/>
      </w:r>
      <w:r>
        <w:rPr>
          <w:rFonts w:hint="default" w:ascii="Times New Roman" w:hAnsi="Times New Roman" w:eastAsia="仿宋_GB2312" w:cs="Times New Roman"/>
          <w:color w:val="000000"/>
          <w:kern w:val="0"/>
          <w:sz w:val="24"/>
        </w:rPr>
        <w:instrText xml:space="preserve">= 8 \* GB2</w:instrText>
      </w:r>
      <w:r>
        <w:rPr>
          <w:rFonts w:hint="default" w:ascii="Times New Roman" w:hAnsi="Times New Roman" w:eastAsia="仿宋_GB2312" w:cs="Times New Roman"/>
          <w:color w:val="000000"/>
          <w:kern w:val="0"/>
          <w:sz w:val="24"/>
        </w:rPr>
        <w:fldChar w:fldCharType="separate"/>
      </w:r>
      <w:r>
        <w:rPr>
          <w:rFonts w:hint="default" w:ascii="Times New Roman" w:hAnsi="Times New Roman" w:eastAsia="仿宋_GB2312" w:cs="Times New Roman"/>
          <w:color w:val="000000"/>
          <w:kern w:val="0"/>
          <w:sz w:val="24"/>
        </w:rPr>
        <w:t>⑻</w:t>
      </w:r>
      <w:r>
        <w:rPr>
          <w:rFonts w:hint="default" w:ascii="Times New Roman" w:hAnsi="Times New Roman" w:eastAsia="仿宋_GB2312" w:cs="Times New Roman"/>
          <w:color w:val="000000"/>
          <w:kern w:val="0"/>
          <w:sz w:val="24"/>
        </w:rPr>
        <w:fldChar w:fldCharType="end"/>
      </w:r>
      <w:r>
        <w:rPr>
          <w:rFonts w:hint="default" w:ascii="Times New Roman" w:hAnsi="Times New Roman" w:eastAsia="仿宋_GB2312" w:cs="Times New Roman"/>
          <w:color w:val="000000"/>
          <w:kern w:val="0"/>
          <w:sz w:val="24"/>
        </w:rPr>
        <w:t>社会工作标兵记实见下表：</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538"/>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353" w:type="dxa"/>
            <w:gridSpan w:val="2"/>
            <w:vAlign w:val="center"/>
          </w:tcPr>
          <w:p>
            <w:pPr>
              <w:widowControl/>
              <w:spacing w:line="276" w:lineRule="auto"/>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具体内容</w:t>
            </w:r>
          </w:p>
        </w:tc>
        <w:tc>
          <w:tcPr>
            <w:tcW w:w="1134" w:type="dxa"/>
            <w:vAlign w:val="center"/>
          </w:tcPr>
          <w:p>
            <w:pPr>
              <w:widowControl/>
              <w:spacing w:line="276" w:lineRule="auto"/>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分值</w:t>
            </w:r>
          </w:p>
        </w:tc>
        <w:tc>
          <w:tcPr>
            <w:tcW w:w="2268" w:type="dxa"/>
            <w:vAlign w:val="center"/>
          </w:tcPr>
          <w:p>
            <w:pPr>
              <w:widowControl/>
              <w:spacing w:line="276" w:lineRule="auto"/>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353" w:type="dxa"/>
            <w:gridSpan w:val="2"/>
            <w:vMerge w:val="restart"/>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党支部书记（正副）、</w:t>
            </w:r>
            <w:r>
              <w:rPr>
                <w:rFonts w:hint="eastAsia" w:ascii="Times New Roman" w:hAnsi="Times New Roman" w:eastAsia="仿宋_GB2312" w:cs="Times New Roman"/>
                <w:color w:val="000000"/>
                <w:kern w:val="0"/>
                <w:sz w:val="24"/>
                <w:lang w:val="en-US" w:eastAsia="zh-CN"/>
              </w:rPr>
              <w:t>兼职</w:t>
            </w:r>
            <w:r>
              <w:rPr>
                <w:rFonts w:hint="default" w:ascii="Times New Roman" w:hAnsi="Times New Roman" w:eastAsia="仿宋_GB2312" w:cs="Times New Roman"/>
                <w:color w:val="000000"/>
                <w:kern w:val="0"/>
                <w:sz w:val="24"/>
              </w:rPr>
              <w:t>团委副书记、兼职辅导员、学院学生党员素质发展中心主任团</w:t>
            </w:r>
            <w:r>
              <w:rPr>
                <w:rFonts w:hint="eastAsia"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团总支书记处、学生会主席团以及展翅计划、青知计划团队核心负责人和学校其他学生组织主要负责人</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优秀10</w:t>
            </w:r>
          </w:p>
        </w:tc>
        <w:tc>
          <w:tcPr>
            <w:tcW w:w="2268" w:type="dxa"/>
            <w:vMerge w:val="restart"/>
            <w:vAlign w:val="center"/>
          </w:tcPr>
          <w:p>
            <w:pPr>
              <w:widowControl/>
              <w:spacing w:line="276" w:lineRule="auto"/>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担任职务半年以上均需进行考核，不满一年超过半年减半加分，其余不加分。等级分为优秀、良好、合格、不合格。优秀的比例不超过30%。考核不合格不予加分。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353" w:type="dxa"/>
            <w:gridSpan w:val="2"/>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良好7</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53" w:type="dxa"/>
            <w:gridSpan w:val="2"/>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合格4</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53" w:type="dxa"/>
            <w:gridSpan w:val="2"/>
            <w:vMerge w:val="restart"/>
            <w:vAlign w:val="center"/>
          </w:tcPr>
          <w:p>
            <w:pPr>
              <w:widowControl/>
              <w:spacing w:line="276" w:lineRule="auto"/>
              <w:jc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rPr>
              <w:t>党支部</w:t>
            </w:r>
            <w:r>
              <w:rPr>
                <w:rFonts w:hint="eastAsia" w:ascii="Times New Roman" w:hAnsi="Times New Roman" w:eastAsia="仿宋_GB2312" w:cs="Times New Roman"/>
                <w:color w:val="000000"/>
                <w:kern w:val="0"/>
                <w:sz w:val="24"/>
                <w:lang w:val="en-US" w:eastAsia="zh-CN"/>
              </w:rPr>
              <w:t>委员</w:t>
            </w:r>
            <w:r>
              <w:rPr>
                <w:rFonts w:hint="default" w:ascii="Times New Roman" w:hAnsi="Times New Roman" w:eastAsia="仿宋_GB2312" w:cs="Times New Roman"/>
                <w:color w:val="000000"/>
                <w:kern w:val="0"/>
                <w:sz w:val="24"/>
              </w:rPr>
              <w:t>、</w:t>
            </w:r>
            <w:r>
              <w:rPr>
                <w:rFonts w:hint="default" w:ascii="Times New Roman" w:hAnsi="Times New Roman" w:eastAsia="仿宋_GB2312" w:cs="Times New Roman"/>
                <w:color w:val="000000"/>
                <w:kern w:val="0"/>
                <w:sz w:val="24"/>
              </w:rPr>
              <w:t>班长、团支书、学院学生组织</w:t>
            </w:r>
            <w:r>
              <w:rPr>
                <w:rFonts w:hint="eastAsia" w:ascii="Times New Roman" w:hAnsi="Times New Roman" w:eastAsia="仿宋_GB2312" w:cs="Times New Roman"/>
                <w:color w:val="000000"/>
                <w:kern w:val="0"/>
                <w:sz w:val="24"/>
                <w:lang w:eastAsia="zh-CN"/>
              </w:rPr>
              <w:t>、</w:t>
            </w:r>
            <w:r>
              <w:rPr>
                <w:rFonts w:hint="eastAsia" w:ascii="Times New Roman" w:hAnsi="Times New Roman" w:eastAsia="仿宋_GB2312" w:cs="Times New Roman"/>
                <w:color w:val="000000"/>
                <w:kern w:val="0"/>
                <w:sz w:val="24"/>
                <w:lang w:val="en-US" w:eastAsia="zh-CN"/>
              </w:rPr>
              <w:t>社团</w:t>
            </w:r>
            <w:r>
              <w:rPr>
                <w:rFonts w:hint="default" w:ascii="Times New Roman" w:hAnsi="Times New Roman" w:eastAsia="仿宋_GB2312" w:cs="Times New Roman"/>
                <w:color w:val="000000"/>
                <w:kern w:val="0"/>
                <w:sz w:val="24"/>
              </w:rPr>
              <w:t>各部部长（正副）</w:t>
            </w:r>
            <w:r>
              <w:rPr>
                <w:rFonts w:hint="eastAsia" w:ascii="Times New Roman" w:hAnsi="Times New Roman" w:eastAsia="仿宋_GB2312" w:cs="Times New Roman"/>
                <w:color w:val="000000"/>
                <w:kern w:val="0"/>
                <w:sz w:val="24"/>
                <w:lang w:val="en-US" w:eastAsia="zh-CN"/>
              </w:rPr>
              <w:t>及学校其他学生组织部门一级负责人</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优秀6</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353" w:type="dxa"/>
            <w:gridSpan w:val="2"/>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良好3</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353" w:type="dxa"/>
            <w:gridSpan w:val="2"/>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合格1</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353" w:type="dxa"/>
            <w:gridSpan w:val="2"/>
            <w:vMerge w:val="restart"/>
            <w:vAlign w:val="center"/>
          </w:tcPr>
          <w:p>
            <w:pPr>
              <w:widowControl/>
              <w:spacing w:line="276" w:lineRule="auto"/>
              <w:jc w:val="center"/>
              <w:rPr>
                <w:rFonts w:hint="default"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班委、</w:t>
            </w:r>
            <w:r>
              <w:rPr>
                <w:rFonts w:hint="default" w:ascii="Times New Roman" w:hAnsi="Times New Roman" w:eastAsia="仿宋_GB2312" w:cs="Times New Roman"/>
                <w:color w:val="000000"/>
                <w:kern w:val="0"/>
                <w:sz w:val="24"/>
              </w:rPr>
              <w:t>学院学生组织、社团干事</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优秀2</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3" w:type="dxa"/>
            <w:gridSpan w:val="2"/>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良好1</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353" w:type="dxa"/>
            <w:gridSpan w:val="2"/>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合格0.5</w:t>
            </w:r>
          </w:p>
        </w:tc>
        <w:tc>
          <w:tcPr>
            <w:tcW w:w="2268"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5" w:type="dxa"/>
            <w:vMerge w:val="restart"/>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额外加分</w:t>
            </w:r>
          </w:p>
        </w:tc>
        <w:tc>
          <w:tcPr>
            <w:tcW w:w="4538"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获得校级及以上优秀党员、优秀党支书者</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2268" w:type="dxa"/>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5"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4538"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获得院级优秀党员、优秀党支书者</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w:t>
            </w:r>
          </w:p>
        </w:tc>
        <w:tc>
          <w:tcPr>
            <w:tcW w:w="2268" w:type="dxa"/>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5"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4538"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获得校级及以上优秀团员、优秀团干者</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2268" w:type="dxa"/>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5"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4538"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获得学院优秀团员、优秀团干者</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w:t>
            </w:r>
          </w:p>
        </w:tc>
        <w:tc>
          <w:tcPr>
            <w:tcW w:w="2268" w:type="dxa"/>
            <w:vAlign w:val="center"/>
          </w:tcPr>
          <w:p>
            <w:pPr>
              <w:widowControl/>
              <w:spacing w:line="276" w:lineRule="auto"/>
              <w:jc w:val="left"/>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15" w:type="dxa"/>
            <w:vMerge w:val="continue"/>
            <w:vAlign w:val="center"/>
          </w:tcPr>
          <w:p>
            <w:pPr>
              <w:widowControl/>
              <w:spacing w:line="276" w:lineRule="auto"/>
              <w:jc w:val="left"/>
              <w:rPr>
                <w:rFonts w:hint="default" w:ascii="Times New Roman" w:hAnsi="Times New Roman" w:eastAsia="仿宋_GB2312" w:cs="Times New Roman"/>
                <w:color w:val="000000"/>
                <w:kern w:val="0"/>
                <w:sz w:val="24"/>
              </w:rPr>
            </w:pPr>
          </w:p>
        </w:tc>
        <w:tc>
          <w:tcPr>
            <w:tcW w:w="4538"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有重大立功表现，为学校、学院赢得荣誉或做出特别贡献者</w:t>
            </w:r>
          </w:p>
        </w:tc>
        <w:tc>
          <w:tcPr>
            <w:tcW w:w="1134" w:type="dxa"/>
            <w:vAlign w:val="center"/>
          </w:tcPr>
          <w:p>
            <w:pPr>
              <w:widowControl/>
              <w:spacing w:line="276" w:lineRule="auto"/>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学院认证酌情加分</w:t>
            </w:r>
          </w:p>
        </w:tc>
        <w:tc>
          <w:tcPr>
            <w:tcW w:w="2268" w:type="dxa"/>
            <w:vAlign w:val="center"/>
          </w:tcPr>
          <w:p>
            <w:pPr>
              <w:widowControl/>
              <w:spacing w:line="276" w:lineRule="auto"/>
              <w:jc w:val="left"/>
              <w:rPr>
                <w:rFonts w:hint="default" w:ascii="Times New Roman" w:hAnsi="Times New Roman" w:eastAsia="仿宋_GB2312" w:cs="Times New Roman"/>
                <w:color w:val="000000"/>
                <w:kern w:val="0"/>
                <w:sz w:val="24"/>
              </w:rPr>
            </w:pPr>
          </w:p>
        </w:tc>
      </w:tr>
    </w:tbl>
    <w:p>
      <w:pPr>
        <w:adjustRightInd w:val="0"/>
        <w:snapToGrid w:val="0"/>
        <w:spacing w:line="276" w:lineRule="auto"/>
        <w:ind w:firstLine="482" w:firstLineChars="200"/>
        <w:jc w:val="left"/>
        <w:rPr>
          <w:rFonts w:hint="default" w:ascii="Times New Roman" w:hAnsi="Times New Roman" w:eastAsia="仿宋_GB2312" w:cs="Times New Roman"/>
          <w:b/>
          <w:bCs/>
          <w:sz w:val="24"/>
        </w:rPr>
      </w:pPr>
    </w:p>
    <w:p>
      <w:pPr>
        <w:adjustRightInd w:val="0"/>
        <w:snapToGrid w:val="0"/>
        <w:spacing w:line="276" w:lineRule="auto"/>
        <w:ind w:firstLine="482" w:firstLineChars="2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6.劳动实践标兵记实</w:t>
      </w:r>
    </w:p>
    <w:tbl>
      <w:tblPr>
        <w:tblStyle w:val="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418"/>
        <w:gridCol w:w="1319"/>
        <w:gridCol w:w="3642"/>
        <w:tblGridChange w:id="0">
          <w:tblGrid>
            <w:gridCol w:w="113"/>
            <w:gridCol w:w="2376"/>
            <w:gridCol w:w="1305"/>
            <w:gridCol w:w="113"/>
            <w:gridCol w:w="1206"/>
            <w:gridCol w:w="364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Align w:val="center"/>
          </w:tcPr>
          <w:p>
            <w:pPr>
              <w:adjustRightInd w:val="0"/>
              <w:snapToGrid w:val="0"/>
              <w:spacing w:line="276"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具体内容</w:t>
            </w:r>
          </w:p>
        </w:tc>
        <w:tc>
          <w:tcPr>
            <w:tcW w:w="1319" w:type="dxa"/>
            <w:vAlign w:val="center"/>
          </w:tcPr>
          <w:p>
            <w:pPr>
              <w:adjustRightInd w:val="0"/>
              <w:snapToGrid w:val="0"/>
              <w:spacing w:line="276"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分值</w:t>
            </w:r>
          </w:p>
        </w:tc>
        <w:tc>
          <w:tcPr>
            <w:tcW w:w="3642" w:type="dxa"/>
            <w:vAlign w:val="center"/>
          </w:tcPr>
          <w:p>
            <w:pPr>
              <w:adjustRightInd w:val="0"/>
              <w:snapToGrid w:val="0"/>
              <w:spacing w:line="276"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参加学校、学院（系）、学园组织的劳动实践项目</w:t>
            </w:r>
          </w:p>
        </w:tc>
        <w:tc>
          <w:tcPr>
            <w:tcW w:w="1418" w:type="dxa"/>
            <w:vMerge w:val="restart"/>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按学时计，半天不超过4学时</w:t>
            </w:r>
          </w:p>
        </w:tc>
        <w:tc>
          <w:tcPr>
            <w:tcW w:w="1319" w:type="dxa"/>
            <w:vMerge w:val="restart"/>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每学时0.5分</w:t>
            </w:r>
          </w:p>
        </w:tc>
        <w:tc>
          <w:tcPr>
            <w:tcW w:w="3642" w:type="dxa"/>
            <w:vMerge w:val="restart"/>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需学校、学院（系）、学园相关部门提供证明材料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76" w:type="dxa"/>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作为院</w:t>
            </w:r>
            <w:r>
              <w:rPr>
                <w:rFonts w:hint="eastAsia" w:ascii="Times New Roman" w:hAnsi="Times New Roman" w:eastAsia="仿宋_GB2312" w:cs="Times New Roman"/>
                <w:sz w:val="24"/>
                <w:lang w:val="en-US" w:eastAsia="zh-CN"/>
              </w:rPr>
              <w:t>团代会代表、</w:t>
            </w:r>
            <w:r>
              <w:rPr>
                <w:rFonts w:hint="default" w:ascii="Times New Roman" w:hAnsi="Times New Roman" w:eastAsia="仿宋_GB2312" w:cs="Times New Roman"/>
                <w:sz w:val="24"/>
              </w:rPr>
              <w:t>学代会代表参与学院学生事务管理</w:t>
            </w:r>
          </w:p>
        </w:tc>
        <w:tc>
          <w:tcPr>
            <w:tcW w:w="1418" w:type="dxa"/>
            <w:vMerge w:val="continue"/>
            <w:vAlign w:val="center"/>
          </w:tcPr>
          <w:p>
            <w:pPr>
              <w:adjustRightInd w:val="0"/>
              <w:snapToGrid w:val="0"/>
              <w:spacing w:line="276" w:lineRule="auto"/>
              <w:jc w:val="center"/>
              <w:rPr>
                <w:rFonts w:hint="default" w:ascii="Times New Roman" w:hAnsi="Times New Roman" w:eastAsia="仿宋_GB2312" w:cs="Times New Roman"/>
                <w:b w:val="0"/>
                <w:bCs w:val="0"/>
                <w:sz w:val="24"/>
              </w:rPr>
            </w:pPr>
          </w:p>
        </w:tc>
        <w:tc>
          <w:tcPr>
            <w:tcW w:w="1319" w:type="dxa"/>
            <w:vMerge w:val="continue"/>
            <w:vAlign w:val="center"/>
          </w:tcPr>
          <w:p>
            <w:pPr>
              <w:adjustRightInd w:val="0"/>
              <w:snapToGrid w:val="0"/>
              <w:spacing w:line="276" w:lineRule="auto"/>
              <w:jc w:val="center"/>
              <w:rPr>
                <w:rFonts w:hint="default" w:ascii="Times New Roman" w:hAnsi="Times New Roman" w:eastAsia="仿宋_GB2312" w:cs="Times New Roman"/>
                <w:b w:val="0"/>
                <w:bCs w:val="0"/>
                <w:sz w:val="24"/>
              </w:rPr>
            </w:pPr>
          </w:p>
        </w:tc>
        <w:tc>
          <w:tcPr>
            <w:tcW w:w="3642" w:type="dxa"/>
            <w:vMerge w:val="continue"/>
            <w:vAlign w:val="center"/>
          </w:tcPr>
          <w:p>
            <w:pPr>
              <w:adjustRightInd w:val="0"/>
              <w:snapToGrid w:val="0"/>
              <w:spacing w:line="276" w:lineRule="auto"/>
              <w:jc w:val="center"/>
              <w:rPr>
                <w:rFonts w:hint="default" w:ascii="Times New Roman" w:hAnsi="Times New Roman" w:eastAsia="仿宋_GB2312" w:cs="Times New Roman"/>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2376" w:type="dxa"/>
            <w:vAlign w:val="center"/>
          </w:tcPr>
          <w:p>
            <w:pPr>
              <w:adjustRightInd w:val="0"/>
              <w:snapToGrid w:val="0"/>
              <w:spacing w:line="276"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参与学院组织的劳育主题活动</w:t>
            </w:r>
          </w:p>
        </w:tc>
        <w:tc>
          <w:tcPr>
            <w:tcW w:w="1418" w:type="dxa"/>
            <w:vMerge w:val="continue"/>
            <w:vAlign w:val="center"/>
          </w:tcPr>
          <w:p>
            <w:pPr>
              <w:adjustRightInd w:val="0"/>
              <w:snapToGrid w:val="0"/>
              <w:spacing w:line="276" w:lineRule="auto"/>
              <w:jc w:val="center"/>
              <w:rPr>
                <w:rFonts w:hint="default" w:ascii="Times New Roman" w:hAnsi="Times New Roman" w:eastAsia="仿宋_GB2312" w:cs="Times New Roman"/>
                <w:sz w:val="24"/>
              </w:rPr>
            </w:pPr>
          </w:p>
        </w:tc>
        <w:tc>
          <w:tcPr>
            <w:tcW w:w="1319" w:type="dxa"/>
            <w:vMerge w:val="continue"/>
            <w:vAlign w:val="center"/>
          </w:tcPr>
          <w:p>
            <w:pPr>
              <w:adjustRightInd w:val="0"/>
              <w:snapToGrid w:val="0"/>
              <w:spacing w:line="276" w:lineRule="auto"/>
              <w:jc w:val="center"/>
              <w:rPr>
                <w:rFonts w:hint="default" w:ascii="Times New Roman" w:hAnsi="Times New Roman" w:eastAsia="仿宋_GB2312" w:cs="Times New Roman"/>
                <w:sz w:val="24"/>
              </w:rPr>
            </w:pPr>
          </w:p>
        </w:tc>
        <w:tc>
          <w:tcPr>
            <w:tcW w:w="3642" w:type="dxa"/>
            <w:vMerge w:val="continue"/>
            <w:vAlign w:val="center"/>
          </w:tcPr>
          <w:p>
            <w:pPr>
              <w:adjustRightInd w:val="0"/>
              <w:snapToGrid w:val="0"/>
              <w:spacing w:line="276" w:lineRule="auto"/>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gridSpan w:val="2"/>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获得校级“文明寝室”等荣誉称号</w:t>
            </w:r>
          </w:p>
        </w:tc>
        <w:tc>
          <w:tcPr>
            <w:tcW w:w="1319" w:type="dxa"/>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4</w:t>
            </w:r>
          </w:p>
        </w:tc>
        <w:tc>
          <w:tcPr>
            <w:tcW w:w="3642" w:type="dxa"/>
            <w:vAlign w:val="center"/>
          </w:tcPr>
          <w:p>
            <w:pPr>
              <w:adjustRightInd w:val="0"/>
              <w:snapToGrid w:val="0"/>
              <w:spacing w:line="276" w:lineRule="auto"/>
              <w:jc w:val="center"/>
              <w:rPr>
                <w:rFonts w:hint="default" w:ascii="Times New Roman" w:hAnsi="Times New Roman" w:eastAsia="仿宋_GB2312" w:cs="Times New Roman"/>
                <w:b w:val="0"/>
                <w:bCs w:val="0"/>
                <w:sz w:val="24"/>
              </w:rPr>
            </w:pPr>
            <w:r>
              <w:rPr>
                <w:rFonts w:hint="default" w:ascii="Times New Roman" w:hAnsi="Times New Roman" w:eastAsia="仿宋_GB2312" w:cs="Times New Roman"/>
                <w:sz w:val="24"/>
              </w:rPr>
              <w:t>需宿管中心提供证明材料</w:t>
            </w:r>
          </w:p>
        </w:tc>
      </w:tr>
    </w:tbl>
    <w:p>
      <w:pPr>
        <w:adjustRightInd w:val="0"/>
        <w:snapToGrid w:val="0"/>
        <w:spacing w:line="276" w:lineRule="auto"/>
        <w:ind w:firstLine="482" w:firstLineChars="200"/>
        <w:jc w:val="left"/>
        <w:rPr>
          <w:rFonts w:hint="default" w:ascii="Times New Roman" w:hAnsi="Times New Roman" w:eastAsia="仿宋_GB2312" w:cs="Times New Roman"/>
          <w:b/>
          <w:bCs/>
          <w:sz w:val="24"/>
        </w:rPr>
      </w:pPr>
    </w:p>
    <w:p>
      <w:pPr>
        <w:adjustRightInd w:val="0"/>
        <w:snapToGrid w:val="0"/>
        <w:spacing w:line="276" w:lineRule="auto"/>
        <w:ind w:firstLine="482" w:firstLineChars="200"/>
        <w:jc w:val="left"/>
        <w:rPr>
          <w:rFonts w:hint="default" w:ascii="Times New Roman" w:hAnsi="Times New Roman" w:eastAsia="仿宋_GB2312" w:cs="Times New Roman"/>
          <w:b/>
          <w:bCs/>
          <w:sz w:val="24"/>
        </w:rPr>
      </w:pPr>
    </w:p>
    <w:p>
      <w:pPr>
        <w:adjustRightInd w:val="0"/>
        <w:snapToGrid w:val="0"/>
        <w:spacing w:line="276" w:lineRule="auto"/>
        <w:ind w:firstLine="482" w:firstLineChars="200"/>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（四）体质健康</w:t>
      </w:r>
    </w:p>
    <w:p>
      <w:pPr>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体质健康是指学生应加强身体锻炼，拥有强健体魄。具体考核体质健康测试情况、日常体育锻炼情况等内容。其结果作为学生参评荣誉称号及奖学金的基础条件。</w:t>
      </w:r>
    </w:p>
    <w:p>
      <w:pPr>
        <w:adjustRightInd w:val="0"/>
        <w:snapToGrid w:val="0"/>
        <w:spacing w:line="276" w:lineRule="auto"/>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由公共体育与艺术部负责评分，学院负责评定等级。评价结果分为优秀、良好、合格、不合格四个等级，以年级为单位进行评定。“优秀”不超过20%，“良好”不超过30%，未达到60分或有缺项的为“不合格”。</w:t>
      </w:r>
    </w:p>
    <w:p>
      <w:pPr>
        <w:widowControl/>
        <w:adjustRightInd w:val="0"/>
        <w:snapToGrid w:val="0"/>
        <w:spacing w:line="276" w:lineRule="auto"/>
        <w:ind w:firstLine="480" w:firstLineChars="200"/>
        <w:jc w:val="left"/>
        <w:rPr>
          <w:rFonts w:hint="default" w:ascii="Times New Roman" w:hAnsi="Times New Roman" w:eastAsia="仿宋_GB2312" w:cs="Times New Roman"/>
          <w:kern w:val="0"/>
          <w:sz w:val="24"/>
        </w:rPr>
      </w:pPr>
    </w:p>
    <w:p>
      <w:pPr>
        <w:adjustRightInd w:val="0"/>
        <w:snapToGrid w:val="0"/>
        <w:spacing w:line="276" w:lineRule="auto"/>
        <w:jc w:val="center"/>
        <w:rPr>
          <w:rFonts w:hint="default" w:ascii="Times New Roman" w:hAnsi="Times New Roman" w:eastAsia="仿宋_GB2312" w:cs="Times New Roman"/>
          <w:sz w:val="24"/>
        </w:rPr>
      </w:pPr>
      <w:r>
        <w:rPr>
          <w:rFonts w:hint="default" w:ascii="Times New Roman" w:hAnsi="Times New Roman" w:eastAsia="仿宋_GB2312" w:cs="Times New Roman"/>
          <w:b/>
          <w:bCs/>
          <w:sz w:val="24"/>
        </w:rPr>
        <w:t>第三章  附则</w:t>
      </w:r>
    </w:p>
    <w:p>
      <w:pPr>
        <w:spacing w:line="276" w:lineRule="auto"/>
        <w:ind w:firstLine="465"/>
        <w:rPr>
          <w:rFonts w:hint="default" w:ascii="Times New Roman" w:hAnsi="Times New Roman" w:eastAsia="仿宋_GB2312" w:cs="Times New Roman"/>
          <w:sz w:val="24"/>
        </w:rPr>
      </w:pPr>
      <w:r>
        <w:rPr>
          <w:rFonts w:hint="default" w:ascii="Times New Roman" w:hAnsi="Times New Roman" w:eastAsia="仿宋_GB2312" w:cs="Times New Roman"/>
          <w:b/>
          <w:sz w:val="24"/>
        </w:rPr>
        <w:t>（一）</w:t>
      </w:r>
      <w:r>
        <w:rPr>
          <w:rFonts w:hint="default" w:ascii="Times New Roman" w:hAnsi="Times New Roman" w:eastAsia="仿宋_GB2312" w:cs="Times New Roman"/>
          <w:sz w:val="24"/>
        </w:rPr>
        <w:t>本细则适用于20</w:t>
      </w:r>
      <w:r>
        <w:rPr>
          <w:rFonts w:hint="default" w:ascii="Times New Roman" w:hAnsi="Times New Roman" w:eastAsia="仿宋_GB2312" w:cs="Times New Roman"/>
          <w:sz w:val="24"/>
        </w:rPr>
        <w:t>21</w:t>
      </w:r>
      <w:r>
        <w:rPr>
          <w:rFonts w:hint="default" w:ascii="Times New Roman" w:hAnsi="Times New Roman" w:eastAsia="仿宋_GB2312" w:cs="Times New Roman"/>
          <w:sz w:val="24"/>
        </w:rPr>
        <w:t>级及以后入学的浙江大学公共管理学院全日制在校普通本科生。</w:t>
      </w:r>
    </w:p>
    <w:p>
      <w:pPr>
        <w:spacing w:line="276" w:lineRule="auto"/>
        <w:ind w:firstLine="465"/>
        <w:rPr>
          <w:rFonts w:hint="default" w:ascii="Times New Roman" w:hAnsi="Times New Roman" w:eastAsia="仿宋_GB2312" w:cs="Times New Roman"/>
          <w:sz w:val="24"/>
        </w:rPr>
      </w:pPr>
      <w:r>
        <w:rPr>
          <w:rFonts w:hint="default" w:ascii="Times New Roman" w:hAnsi="Times New Roman" w:eastAsia="仿宋_GB2312" w:cs="Times New Roman"/>
          <w:b/>
          <w:sz w:val="24"/>
        </w:rPr>
        <w:t>（二）</w:t>
      </w:r>
      <w:r>
        <w:rPr>
          <w:rFonts w:hint="default" w:ascii="Times New Roman" w:hAnsi="Times New Roman" w:eastAsia="仿宋_GB2312" w:cs="Times New Roman"/>
          <w:sz w:val="24"/>
        </w:rPr>
        <w:t>本细则由</w:t>
      </w:r>
      <w:r>
        <w:rPr>
          <w:rFonts w:hint="default" w:ascii="Times New Roman" w:hAnsi="Times New Roman" w:eastAsia="仿宋_GB2312" w:cs="Times New Roman"/>
          <w:sz w:val="24"/>
        </w:rPr>
        <w:t>浙江大学公共管理</w:t>
      </w:r>
      <w:r>
        <w:rPr>
          <w:rFonts w:hint="default" w:ascii="Times New Roman" w:hAnsi="Times New Roman" w:eastAsia="仿宋_GB2312" w:cs="Times New Roman"/>
          <w:sz w:val="24"/>
        </w:rPr>
        <w:t xml:space="preserve">学院负责解释。 </w:t>
      </w:r>
    </w:p>
    <w:p>
      <w:pPr>
        <w:spacing w:line="276" w:lineRule="auto"/>
        <w:ind w:firstLine="465"/>
        <w:rPr>
          <w:rFonts w:hint="default" w:ascii="Times New Roman" w:hAnsi="Times New Roman" w:eastAsia="仿宋_GB2312" w:cs="Times New Roman"/>
          <w:sz w:val="24"/>
        </w:rPr>
      </w:pPr>
      <w:r>
        <w:rPr>
          <w:rFonts w:hint="default" w:ascii="Times New Roman" w:hAnsi="Times New Roman" w:eastAsia="仿宋_GB2312" w:cs="Times New Roman"/>
          <w:b/>
          <w:bCs/>
          <w:sz w:val="24"/>
        </w:rPr>
        <w:t>（三）</w:t>
      </w:r>
      <w:r>
        <w:rPr>
          <w:rFonts w:hint="default" w:ascii="Times New Roman" w:hAnsi="Times New Roman" w:eastAsia="仿宋_GB2312" w:cs="Times New Roman"/>
          <w:sz w:val="24"/>
        </w:rPr>
        <w:t>本细则自发布之日起实施。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29"/>
    <w:rsid w:val="00001333"/>
    <w:rsid w:val="00015645"/>
    <w:rsid w:val="0003543B"/>
    <w:rsid w:val="0003647F"/>
    <w:rsid w:val="00052CDB"/>
    <w:rsid w:val="00053A77"/>
    <w:rsid w:val="00067CAE"/>
    <w:rsid w:val="00093E0B"/>
    <w:rsid w:val="000B19D9"/>
    <w:rsid w:val="000C428E"/>
    <w:rsid w:val="0010160D"/>
    <w:rsid w:val="001116D2"/>
    <w:rsid w:val="001474B7"/>
    <w:rsid w:val="00191666"/>
    <w:rsid w:val="001A72C9"/>
    <w:rsid w:val="001B62FE"/>
    <w:rsid w:val="001D6DB5"/>
    <w:rsid w:val="001E7E8C"/>
    <w:rsid w:val="001F5B3B"/>
    <w:rsid w:val="00216E50"/>
    <w:rsid w:val="00217F63"/>
    <w:rsid w:val="00234C59"/>
    <w:rsid w:val="00235D43"/>
    <w:rsid w:val="0026412E"/>
    <w:rsid w:val="002A47D9"/>
    <w:rsid w:val="002A6CEE"/>
    <w:rsid w:val="002B732E"/>
    <w:rsid w:val="002C1117"/>
    <w:rsid w:val="002D1431"/>
    <w:rsid w:val="003156F2"/>
    <w:rsid w:val="00320DB4"/>
    <w:rsid w:val="003441EB"/>
    <w:rsid w:val="00372663"/>
    <w:rsid w:val="0038135B"/>
    <w:rsid w:val="003B6014"/>
    <w:rsid w:val="003C3122"/>
    <w:rsid w:val="003E30AA"/>
    <w:rsid w:val="0041112A"/>
    <w:rsid w:val="004150BB"/>
    <w:rsid w:val="00434784"/>
    <w:rsid w:val="00436FDE"/>
    <w:rsid w:val="00456C89"/>
    <w:rsid w:val="00461F26"/>
    <w:rsid w:val="0046776C"/>
    <w:rsid w:val="00495AEE"/>
    <w:rsid w:val="004A5D8C"/>
    <w:rsid w:val="004A6C6D"/>
    <w:rsid w:val="004B30F1"/>
    <w:rsid w:val="004C3021"/>
    <w:rsid w:val="004C3C16"/>
    <w:rsid w:val="004F456D"/>
    <w:rsid w:val="00503AB7"/>
    <w:rsid w:val="00562132"/>
    <w:rsid w:val="005812D7"/>
    <w:rsid w:val="00582EB8"/>
    <w:rsid w:val="00597225"/>
    <w:rsid w:val="005A06C9"/>
    <w:rsid w:val="005C2320"/>
    <w:rsid w:val="005D61D2"/>
    <w:rsid w:val="005E1001"/>
    <w:rsid w:val="005F377E"/>
    <w:rsid w:val="0061640C"/>
    <w:rsid w:val="006217E9"/>
    <w:rsid w:val="00635502"/>
    <w:rsid w:val="00654733"/>
    <w:rsid w:val="006A0B88"/>
    <w:rsid w:val="006A3FF8"/>
    <w:rsid w:val="006E010A"/>
    <w:rsid w:val="006E2CA1"/>
    <w:rsid w:val="006E7E0F"/>
    <w:rsid w:val="0070750B"/>
    <w:rsid w:val="00714A25"/>
    <w:rsid w:val="00717EE2"/>
    <w:rsid w:val="00723CDC"/>
    <w:rsid w:val="00734809"/>
    <w:rsid w:val="007561CF"/>
    <w:rsid w:val="00760D39"/>
    <w:rsid w:val="007873A2"/>
    <w:rsid w:val="007A2BC0"/>
    <w:rsid w:val="007A5021"/>
    <w:rsid w:val="007B0D1F"/>
    <w:rsid w:val="007B31E8"/>
    <w:rsid w:val="007B635D"/>
    <w:rsid w:val="007B72BF"/>
    <w:rsid w:val="007C566A"/>
    <w:rsid w:val="007D0D79"/>
    <w:rsid w:val="007F3D8E"/>
    <w:rsid w:val="008162D9"/>
    <w:rsid w:val="0084447D"/>
    <w:rsid w:val="00863C31"/>
    <w:rsid w:val="008A330E"/>
    <w:rsid w:val="008A7B0A"/>
    <w:rsid w:val="008B0836"/>
    <w:rsid w:val="008B4EE6"/>
    <w:rsid w:val="008B7DE1"/>
    <w:rsid w:val="008D1C45"/>
    <w:rsid w:val="008D4A0A"/>
    <w:rsid w:val="00920841"/>
    <w:rsid w:val="0092093F"/>
    <w:rsid w:val="00925FF8"/>
    <w:rsid w:val="00936DD4"/>
    <w:rsid w:val="00947AF5"/>
    <w:rsid w:val="00954792"/>
    <w:rsid w:val="00956089"/>
    <w:rsid w:val="00963190"/>
    <w:rsid w:val="00964830"/>
    <w:rsid w:val="009728F1"/>
    <w:rsid w:val="00985891"/>
    <w:rsid w:val="0098629D"/>
    <w:rsid w:val="009962FE"/>
    <w:rsid w:val="009C044E"/>
    <w:rsid w:val="009D0191"/>
    <w:rsid w:val="009E4244"/>
    <w:rsid w:val="009E5323"/>
    <w:rsid w:val="009F6CE9"/>
    <w:rsid w:val="009F7527"/>
    <w:rsid w:val="00A0469C"/>
    <w:rsid w:val="00A04F87"/>
    <w:rsid w:val="00A072BB"/>
    <w:rsid w:val="00A16BAA"/>
    <w:rsid w:val="00A2033F"/>
    <w:rsid w:val="00A33310"/>
    <w:rsid w:val="00A35F33"/>
    <w:rsid w:val="00A441CE"/>
    <w:rsid w:val="00A60D11"/>
    <w:rsid w:val="00A6485A"/>
    <w:rsid w:val="00A64B53"/>
    <w:rsid w:val="00A813E2"/>
    <w:rsid w:val="00A8726F"/>
    <w:rsid w:val="00AB2626"/>
    <w:rsid w:val="00AB3147"/>
    <w:rsid w:val="00AC14D7"/>
    <w:rsid w:val="00AD327B"/>
    <w:rsid w:val="00AE3909"/>
    <w:rsid w:val="00AE6FE6"/>
    <w:rsid w:val="00AF18D8"/>
    <w:rsid w:val="00B24957"/>
    <w:rsid w:val="00B30ACF"/>
    <w:rsid w:val="00B360EB"/>
    <w:rsid w:val="00B616D9"/>
    <w:rsid w:val="00B81529"/>
    <w:rsid w:val="00B87C12"/>
    <w:rsid w:val="00B93296"/>
    <w:rsid w:val="00B96BB9"/>
    <w:rsid w:val="00B973AA"/>
    <w:rsid w:val="00BB4C93"/>
    <w:rsid w:val="00BC0CFF"/>
    <w:rsid w:val="00C22A59"/>
    <w:rsid w:val="00C35709"/>
    <w:rsid w:val="00C56FD4"/>
    <w:rsid w:val="00C750A0"/>
    <w:rsid w:val="00C823BA"/>
    <w:rsid w:val="00CA6E72"/>
    <w:rsid w:val="00CE4ED3"/>
    <w:rsid w:val="00D001F1"/>
    <w:rsid w:val="00D002CF"/>
    <w:rsid w:val="00D0074C"/>
    <w:rsid w:val="00D14AB8"/>
    <w:rsid w:val="00D16EC6"/>
    <w:rsid w:val="00D1791E"/>
    <w:rsid w:val="00D25EFA"/>
    <w:rsid w:val="00D32E28"/>
    <w:rsid w:val="00D535F7"/>
    <w:rsid w:val="00D86EAC"/>
    <w:rsid w:val="00D943F4"/>
    <w:rsid w:val="00D95A49"/>
    <w:rsid w:val="00D97EC3"/>
    <w:rsid w:val="00DA512B"/>
    <w:rsid w:val="00DC212E"/>
    <w:rsid w:val="00DC4F19"/>
    <w:rsid w:val="00DD19B8"/>
    <w:rsid w:val="00DD742B"/>
    <w:rsid w:val="00DE64CD"/>
    <w:rsid w:val="00DF4057"/>
    <w:rsid w:val="00E05686"/>
    <w:rsid w:val="00E233C8"/>
    <w:rsid w:val="00E24731"/>
    <w:rsid w:val="00E25CEF"/>
    <w:rsid w:val="00E34244"/>
    <w:rsid w:val="00E41675"/>
    <w:rsid w:val="00E65784"/>
    <w:rsid w:val="00E77B13"/>
    <w:rsid w:val="00E815E8"/>
    <w:rsid w:val="00E8481F"/>
    <w:rsid w:val="00E951C3"/>
    <w:rsid w:val="00EA5918"/>
    <w:rsid w:val="00EB219C"/>
    <w:rsid w:val="00EC4D1C"/>
    <w:rsid w:val="00F142A1"/>
    <w:rsid w:val="00F43BF5"/>
    <w:rsid w:val="00F57BEF"/>
    <w:rsid w:val="00F93CCD"/>
    <w:rsid w:val="00FB385B"/>
    <w:rsid w:val="00FE1381"/>
    <w:rsid w:val="00FE13FD"/>
    <w:rsid w:val="00FE1A35"/>
    <w:rsid w:val="00FF1230"/>
    <w:rsid w:val="04876DDB"/>
    <w:rsid w:val="0E4E2626"/>
    <w:rsid w:val="1BC26C2B"/>
    <w:rsid w:val="1C39770C"/>
    <w:rsid w:val="23E0468A"/>
    <w:rsid w:val="24CE10D2"/>
    <w:rsid w:val="2C8B4638"/>
    <w:rsid w:val="2E096365"/>
    <w:rsid w:val="31DC1143"/>
    <w:rsid w:val="3F9A19D7"/>
    <w:rsid w:val="45874C7E"/>
    <w:rsid w:val="46AA2F9F"/>
    <w:rsid w:val="477D1C97"/>
    <w:rsid w:val="4BE30FC2"/>
    <w:rsid w:val="4C313E15"/>
    <w:rsid w:val="52C40163"/>
    <w:rsid w:val="537D059E"/>
    <w:rsid w:val="5B3B279B"/>
    <w:rsid w:val="5DA122DA"/>
    <w:rsid w:val="69FE35A4"/>
    <w:rsid w:val="73545CB7"/>
    <w:rsid w:val="77752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7"/>
    <w:qFormat/>
    <w:uiPriority w:val="0"/>
    <w:rPr>
      <w:b/>
      <w:bCs/>
    </w:rPr>
  </w:style>
  <w:style w:type="table" w:styleId="9">
    <w:name w:val="Table Grid"/>
    <w:basedOn w:val="8"/>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批注框文本 字符"/>
    <w:basedOn w:val="10"/>
    <w:link w:val="3"/>
    <w:qFormat/>
    <w:uiPriority w:val="0"/>
    <w:rPr>
      <w:kern w:val="2"/>
      <w:sz w:val="18"/>
      <w:szCs w:val="18"/>
    </w:rPr>
  </w:style>
  <w:style w:type="paragraph" w:customStyle="1" w:styleId="14">
    <w:name w:val="列出段落1"/>
    <w:basedOn w:val="1"/>
    <w:unhideWhenUsed/>
    <w:qFormat/>
    <w:uiPriority w:val="99"/>
    <w:pPr>
      <w:ind w:firstLine="420" w:firstLineChars="200"/>
    </w:pPr>
  </w:style>
  <w:style w:type="character" w:customStyle="1" w:styleId="15">
    <w:name w:val="页眉 字符"/>
    <w:basedOn w:val="10"/>
    <w:link w:val="5"/>
    <w:qFormat/>
    <w:uiPriority w:val="0"/>
    <w:rPr>
      <w:kern w:val="2"/>
      <w:sz w:val="18"/>
      <w:szCs w:val="18"/>
    </w:rPr>
  </w:style>
  <w:style w:type="character" w:customStyle="1" w:styleId="16">
    <w:name w:val="批注文字 字符"/>
    <w:basedOn w:val="10"/>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styleId="18">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3B004-13E6-4D28-B0D9-9FED517102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924</Words>
  <Characters>5269</Characters>
  <Lines>43</Lines>
  <Paragraphs>12</Paragraphs>
  <TotalTime>74</TotalTime>
  <ScaleCrop>false</ScaleCrop>
  <LinksUpToDate>false</LinksUpToDate>
  <CharactersWithSpaces>6181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2021-08-12T09:53:00Z</dcterms:created>
  <dc:creator>JRJ</dc:creator>
  <cp:lastModifiedBy>decisive</cp:lastModifiedBy>
  <cp:lastPrinted>2019-05-31T01:04:00Z</cp:lastPrinted>
  <dcterms:modified xsi:type="dcterms:W3CDTF">2021-11-12T08:40:18Z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500933C32E7E4054948981A1501E606B</vt:lpwstr>
  </property>
</Properties>
</file>