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EC" w:rsidRPr="00B24BEC" w:rsidRDefault="00B24BEC" w:rsidP="008D2CE4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24"/>
        </w:rPr>
      </w:pPr>
      <w:r w:rsidRPr="00B24BEC">
        <w:rPr>
          <w:rFonts w:ascii="黑体" w:eastAsia="黑体" w:hAnsi="宋体" w:hint="eastAsia"/>
          <w:b/>
          <w:sz w:val="36"/>
          <w:szCs w:val="36"/>
        </w:rPr>
        <w:t>2016级公共管理学院主修专业确认工作细则</w:t>
      </w:r>
    </w:p>
    <w:p w:rsidR="00B24BEC" w:rsidRPr="00B24BEC" w:rsidRDefault="00B24BEC" w:rsidP="008D2CE4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2016级公共管理学院主修专业确认工作由学院主修专业确认工作委员会</w:t>
      </w:r>
      <w:r w:rsidR="009048A0">
        <w:rPr>
          <w:rFonts w:ascii="宋体" w:hAnsi="宋体" w:hint="eastAsia"/>
          <w:sz w:val="24"/>
        </w:rPr>
        <w:t>按照公平、公开、公正的原则</w:t>
      </w:r>
      <w:r w:rsidRPr="00B24BEC">
        <w:rPr>
          <w:rFonts w:ascii="宋体" w:hAnsi="宋体" w:hint="eastAsia"/>
          <w:sz w:val="24"/>
        </w:rPr>
        <w:t>进行。按照浙大发本【2016】109号《浙江大学本科生主修专业确认办法》执行。</w:t>
      </w:r>
    </w:p>
    <w:p w:rsidR="00B24BEC" w:rsidRPr="00B24BEC" w:rsidRDefault="00B24BEC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B24BEC">
        <w:rPr>
          <w:rFonts w:ascii="宋体" w:hAnsi="宋体" w:hint="eastAsia"/>
          <w:b/>
          <w:sz w:val="24"/>
        </w:rPr>
        <w:t xml:space="preserve">一、学院主修专业确认工作委员会 </w:t>
      </w:r>
    </w:p>
    <w:p w:rsidR="00B24BEC" w:rsidRP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由分管本科教学副院长、分管本科生思政工作党委副书记任组长，成员包括各系系主任、本科生管理办公室主任、团委书记。</w:t>
      </w:r>
    </w:p>
    <w:p w:rsidR="00B24BEC" w:rsidRPr="00B24BEC" w:rsidRDefault="00B24BEC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B24BEC">
        <w:rPr>
          <w:rFonts w:ascii="宋体" w:hAnsi="宋体" w:hint="eastAsia"/>
          <w:b/>
          <w:sz w:val="24"/>
        </w:rPr>
        <w:t>二、各专业接收要求</w:t>
      </w:r>
    </w:p>
    <w:p w:rsid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1.第一轮确认只接收类内学生</w:t>
      </w:r>
    </w:p>
    <w:p w:rsidR="0082695E" w:rsidRPr="003E72AF" w:rsidRDefault="0082695E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3E72AF">
        <w:rPr>
          <w:rFonts w:ascii="宋体" w:hAnsi="宋体" w:hint="eastAsia"/>
          <w:sz w:val="24"/>
        </w:rPr>
        <w:t>第一轮确认按学生专业志愿优先级，自前向后、分批次进行确认。</w:t>
      </w:r>
      <w:r w:rsidR="005F7D58" w:rsidRPr="003E72AF">
        <w:rPr>
          <w:rFonts w:ascii="宋体" w:hAnsi="宋体" w:hint="eastAsia"/>
          <w:b/>
          <w:sz w:val="24"/>
        </w:rPr>
        <w:t>第一轮第一、第二志愿填报学院各专业但第一志愿未被接收的，优先保证可不参加第二志愿面试被第二志愿接收（第二志愿专业基本容量为0的除外）。</w:t>
      </w:r>
    </w:p>
    <w:p w:rsidR="0029057E" w:rsidRPr="0029057E" w:rsidRDefault="00FE1316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B24BEC">
        <w:rPr>
          <w:rFonts w:ascii="宋体" w:hAnsi="宋体" w:hint="eastAsia"/>
          <w:sz w:val="24"/>
        </w:rPr>
        <w:t>当</w:t>
      </w:r>
      <w:r w:rsidRPr="00B24BEC">
        <w:rPr>
          <w:rFonts w:ascii="宋体" w:hAnsi="宋体"/>
          <w:sz w:val="24"/>
        </w:rPr>
        <w:t>申请人数</w:t>
      </w:r>
      <w:r w:rsidRPr="00B24BEC">
        <w:rPr>
          <w:rFonts w:ascii="宋体" w:hAnsi="宋体" w:hint="eastAsia"/>
          <w:sz w:val="24"/>
        </w:rPr>
        <w:t>大于</w:t>
      </w:r>
      <w:r w:rsidRPr="00B24BEC">
        <w:rPr>
          <w:rFonts w:ascii="宋体" w:hAnsi="宋体"/>
          <w:sz w:val="24"/>
        </w:rPr>
        <w:t>专业</w:t>
      </w:r>
      <w:r w:rsidRPr="00B24BEC">
        <w:rPr>
          <w:rFonts w:ascii="宋体" w:hAnsi="宋体" w:hint="eastAsia"/>
          <w:sz w:val="24"/>
        </w:rPr>
        <w:t>基本容量</w:t>
      </w:r>
      <w:r w:rsidRPr="00B24BEC">
        <w:rPr>
          <w:rFonts w:ascii="宋体" w:hAnsi="宋体"/>
          <w:sz w:val="24"/>
        </w:rPr>
        <w:t>时，</w:t>
      </w:r>
      <w:r w:rsidRPr="00B24BEC">
        <w:rPr>
          <w:rFonts w:ascii="宋体" w:hAnsi="宋体" w:hint="eastAsia"/>
          <w:sz w:val="24"/>
        </w:rPr>
        <w:t>由</w:t>
      </w:r>
      <w:r w:rsidRPr="00B24BEC">
        <w:rPr>
          <w:rFonts w:ascii="宋体" w:hAnsi="宋体"/>
          <w:sz w:val="24"/>
        </w:rPr>
        <w:t>专业</w:t>
      </w:r>
      <w:r w:rsidRPr="00B24BEC">
        <w:rPr>
          <w:rFonts w:ascii="宋体" w:hAnsi="宋体" w:hint="eastAsia"/>
          <w:sz w:val="24"/>
        </w:rPr>
        <w:t>组织面试进行遴选。</w:t>
      </w:r>
      <w:r w:rsidR="005F7D58" w:rsidRPr="00B24BEC">
        <w:rPr>
          <w:rFonts w:ascii="宋体" w:hAnsi="宋体" w:hint="eastAsia"/>
          <w:sz w:val="24"/>
        </w:rPr>
        <w:t>专业遴选</w:t>
      </w:r>
      <w:r w:rsidR="00843D85" w:rsidRPr="00B24BEC">
        <w:rPr>
          <w:rFonts w:ascii="宋体" w:hAnsi="宋体" w:hint="eastAsia"/>
          <w:sz w:val="24"/>
        </w:rPr>
        <w:t>按</w:t>
      </w:r>
      <w:r w:rsidR="00843D85">
        <w:rPr>
          <w:rFonts w:ascii="宋体" w:hAnsi="宋体" w:hint="eastAsia"/>
          <w:sz w:val="24"/>
        </w:rPr>
        <w:t>面试成绩</w:t>
      </w:r>
      <w:r w:rsidR="00843D85" w:rsidRPr="00B24BEC">
        <w:rPr>
          <w:rFonts w:ascii="宋体" w:hAnsi="宋体" w:hint="eastAsia"/>
          <w:sz w:val="24"/>
        </w:rPr>
        <w:t>由高到低接收。</w:t>
      </w:r>
    </w:p>
    <w:p w:rsidR="0082695E" w:rsidRPr="00B24BEC" w:rsidRDefault="0082695E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/>
          <w:sz w:val="24"/>
        </w:rPr>
        <w:t>当申请人数</w:t>
      </w:r>
      <w:r w:rsidRPr="00B24BEC">
        <w:rPr>
          <w:rFonts w:ascii="宋体" w:hAnsi="宋体" w:hint="eastAsia"/>
          <w:sz w:val="24"/>
        </w:rPr>
        <w:t>不大于</w:t>
      </w:r>
      <w:r w:rsidRPr="00B24BEC">
        <w:rPr>
          <w:rFonts w:ascii="宋体" w:hAnsi="宋体"/>
          <w:sz w:val="24"/>
        </w:rPr>
        <w:t>专业</w:t>
      </w:r>
      <w:r w:rsidRPr="00B24BEC">
        <w:rPr>
          <w:rFonts w:ascii="宋体" w:hAnsi="宋体" w:hint="eastAsia"/>
          <w:sz w:val="24"/>
        </w:rPr>
        <w:t>基本</w:t>
      </w:r>
      <w:r w:rsidRPr="00B24BEC">
        <w:rPr>
          <w:rFonts w:ascii="宋体" w:hAnsi="宋体"/>
          <w:sz w:val="24"/>
        </w:rPr>
        <w:t>容量时，申请学生都作为接受学生</w:t>
      </w:r>
      <w:r w:rsidR="00FE1316">
        <w:rPr>
          <w:rFonts w:ascii="宋体" w:hAnsi="宋体" w:hint="eastAsia"/>
          <w:sz w:val="24"/>
        </w:rPr>
        <w:t>。</w:t>
      </w:r>
    </w:p>
    <w:p w:rsidR="00B24BEC" w:rsidRP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2.第二轮确认可接收类内或跨类学生</w:t>
      </w:r>
    </w:p>
    <w:p w:rsidR="0082695E" w:rsidRDefault="0082695E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第二轮确认按学生志愿进行确认。</w:t>
      </w:r>
    </w:p>
    <w:p w:rsidR="00465589" w:rsidRP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当</w:t>
      </w:r>
      <w:r w:rsidRPr="00B24BEC">
        <w:rPr>
          <w:rFonts w:ascii="宋体" w:hAnsi="宋体"/>
          <w:sz w:val="24"/>
        </w:rPr>
        <w:t>申请人数</w:t>
      </w:r>
      <w:r w:rsidRPr="00B24BEC">
        <w:rPr>
          <w:rFonts w:ascii="宋体" w:hAnsi="宋体" w:hint="eastAsia"/>
          <w:sz w:val="24"/>
        </w:rPr>
        <w:t>大于</w:t>
      </w:r>
      <w:r w:rsidRPr="00B24BEC">
        <w:rPr>
          <w:rFonts w:ascii="宋体" w:hAnsi="宋体"/>
          <w:sz w:val="24"/>
        </w:rPr>
        <w:t>专业</w:t>
      </w:r>
      <w:r w:rsidRPr="00B24BEC">
        <w:rPr>
          <w:rFonts w:ascii="宋体" w:hAnsi="宋体" w:hint="eastAsia"/>
          <w:sz w:val="24"/>
        </w:rPr>
        <w:t>接收</w:t>
      </w:r>
      <w:r w:rsidRPr="00B24BEC">
        <w:rPr>
          <w:rFonts w:ascii="宋体" w:hAnsi="宋体"/>
          <w:sz w:val="24"/>
        </w:rPr>
        <w:t>容量</w:t>
      </w:r>
      <w:r w:rsidRPr="00B24BEC">
        <w:rPr>
          <w:rFonts w:ascii="宋体" w:hAnsi="宋体" w:hint="eastAsia"/>
          <w:sz w:val="24"/>
        </w:rPr>
        <w:t>，</w:t>
      </w:r>
      <w:r w:rsidR="00465589" w:rsidRPr="00B24BEC">
        <w:rPr>
          <w:rFonts w:ascii="宋体" w:hAnsi="宋体" w:hint="eastAsia"/>
          <w:sz w:val="24"/>
        </w:rPr>
        <w:t>由</w:t>
      </w:r>
      <w:r w:rsidR="00465589" w:rsidRPr="00B24BEC">
        <w:rPr>
          <w:rFonts w:ascii="宋体" w:hAnsi="宋体"/>
          <w:sz w:val="24"/>
        </w:rPr>
        <w:t>专业</w:t>
      </w:r>
      <w:r w:rsidR="00465589" w:rsidRPr="00B24BEC">
        <w:rPr>
          <w:rFonts w:ascii="宋体" w:hAnsi="宋体" w:hint="eastAsia"/>
          <w:sz w:val="24"/>
        </w:rPr>
        <w:t>组织面试进行遴选。专业遴选按</w:t>
      </w:r>
      <w:r w:rsidR="00465589">
        <w:rPr>
          <w:rFonts w:ascii="宋体" w:hAnsi="宋体" w:hint="eastAsia"/>
          <w:sz w:val="24"/>
        </w:rPr>
        <w:t>面试成绩</w:t>
      </w:r>
      <w:r w:rsidR="00465589" w:rsidRPr="00B24BEC">
        <w:rPr>
          <w:rFonts w:ascii="宋体" w:hAnsi="宋体" w:hint="eastAsia"/>
          <w:sz w:val="24"/>
        </w:rPr>
        <w:t>由高到低接收。</w:t>
      </w:r>
    </w:p>
    <w:p w:rsidR="004736AE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当</w:t>
      </w:r>
      <w:r w:rsidRPr="00B24BEC">
        <w:rPr>
          <w:rFonts w:ascii="宋体" w:hAnsi="宋体"/>
          <w:sz w:val="24"/>
        </w:rPr>
        <w:t>申请人数</w:t>
      </w:r>
      <w:r w:rsidRPr="00B24BEC">
        <w:rPr>
          <w:rFonts w:ascii="宋体" w:hAnsi="宋体" w:hint="eastAsia"/>
          <w:sz w:val="24"/>
        </w:rPr>
        <w:t>不大于</w:t>
      </w:r>
      <w:r w:rsidRPr="00B24BEC">
        <w:rPr>
          <w:rFonts w:ascii="宋体" w:hAnsi="宋体"/>
          <w:sz w:val="24"/>
        </w:rPr>
        <w:t>专业</w:t>
      </w:r>
      <w:r w:rsidRPr="00B24BEC">
        <w:rPr>
          <w:rFonts w:ascii="宋体" w:hAnsi="宋体" w:hint="eastAsia"/>
          <w:sz w:val="24"/>
        </w:rPr>
        <w:t>接收</w:t>
      </w:r>
      <w:r w:rsidRPr="00B24BEC">
        <w:rPr>
          <w:rFonts w:ascii="宋体" w:hAnsi="宋体"/>
          <w:sz w:val="24"/>
        </w:rPr>
        <w:t>容量，</w:t>
      </w:r>
      <w:r w:rsidR="004736AE" w:rsidRPr="00B24BEC">
        <w:rPr>
          <w:rFonts w:ascii="宋体" w:hAnsi="宋体"/>
          <w:sz w:val="24"/>
        </w:rPr>
        <w:t>申请学生都作为接受学生</w:t>
      </w:r>
      <w:r w:rsidR="004736AE">
        <w:rPr>
          <w:rFonts w:ascii="宋体" w:hAnsi="宋体" w:hint="eastAsia"/>
          <w:sz w:val="24"/>
        </w:rPr>
        <w:t>。</w:t>
      </w:r>
    </w:p>
    <w:p w:rsidR="002B28B1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3.第二轮确认后，专业接收容量的剩余部分全部纳入转专业容量操作。</w:t>
      </w:r>
    </w:p>
    <w:p w:rsidR="005F7D58" w:rsidRPr="003E72AF" w:rsidRDefault="002B28B1" w:rsidP="005F7D5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E72AF">
        <w:rPr>
          <w:rFonts w:ascii="宋体" w:hAnsi="宋体" w:hint="eastAsia"/>
          <w:sz w:val="24"/>
        </w:rPr>
        <w:t>转专业容量</w:t>
      </w:r>
      <w:r w:rsidR="005F7D58" w:rsidRPr="003E72AF">
        <w:rPr>
          <w:rFonts w:ascii="宋体" w:hAnsi="宋体" w:hint="eastAsia"/>
          <w:sz w:val="24"/>
        </w:rPr>
        <w:t>＝</w:t>
      </w:r>
      <w:r w:rsidRPr="003E72AF">
        <w:rPr>
          <w:rFonts w:ascii="宋体" w:hAnsi="宋体" w:hint="eastAsia"/>
          <w:sz w:val="24"/>
        </w:rPr>
        <w:t>专业接收容量</w:t>
      </w:r>
      <w:r w:rsidR="005F7D58" w:rsidRPr="003E72AF">
        <w:rPr>
          <w:rFonts w:ascii="宋体" w:hAnsi="宋体" w:hint="eastAsia"/>
          <w:sz w:val="24"/>
        </w:rPr>
        <w:t>-</w:t>
      </w:r>
      <w:r w:rsidRPr="003E72AF">
        <w:rPr>
          <w:rFonts w:ascii="宋体" w:hAnsi="宋体" w:hint="eastAsia"/>
          <w:sz w:val="24"/>
        </w:rPr>
        <w:t>专业已确认接收人数</w:t>
      </w:r>
    </w:p>
    <w:p w:rsidR="00B24BEC" w:rsidRDefault="00B24BEC" w:rsidP="005F7D58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B24BEC">
        <w:rPr>
          <w:rFonts w:ascii="宋体" w:hAnsi="宋体" w:hint="eastAsia"/>
          <w:b/>
          <w:sz w:val="24"/>
        </w:rPr>
        <w:t>三、主修专业确认容量安排</w:t>
      </w:r>
    </w:p>
    <w:tbl>
      <w:tblPr>
        <w:tblW w:w="54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636"/>
        <w:gridCol w:w="992"/>
        <w:gridCol w:w="992"/>
      </w:tblGrid>
      <w:tr w:rsidR="003E72AF" w:rsidRPr="003E72AF" w:rsidTr="0013175A">
        <w:trPr>
          <w:trHeight w:val="587"/>
        </w:trPr>
        <w:tc>
          <w:tcPr>
            <w:tcW w:w="1866" w:type="dxa"/>
            <w:vAlign w:val="center"/>
            <w:hideMark/>
          </w:tcPr>
          <w:p w:rsidR="0013175A" w:rsidRPr="003E72AF" w:rsidRDefault="0013175A" w:rsidP="00E509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72A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13175A" w:rsidRPr="003E72AF" w:rsidRDefault="0013175A" w:rsidP="00E509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72A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专业基本容量</w:t>
            </w:r>
            <w:r w:rsidRPr="003E72AF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（含三位一体人数）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175A" w:rsidRPr="003E72AF" w:rsidRDefault="0013175A" w:rsidP="00E509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72A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三位一体人数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175A" w:rsidRPr="003E72AF" w:rsidRDefault="0013175A" w:rsidP="00E509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72A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专业接收容量</w:t>
            </w:r>
          </w:p>
        </w:tc>
      </w:tr>
      <w:tr w:rsidR="00261934" w:rsidRPr="00984297" w:rsidTr="00916E18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261934" w:rsidRPr="00984297" w:rsidRDefault="00261934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行政管理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261934" w:rsidRPr="00984297" w:rsidRDefault="00261934" w:rsidP="0026193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934" w:rsidRPr="00984297" w:rsidRDefault="00261934" w:rsidP="0026193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61934" w:rsidRPr="00984297" w:rsidRDefault="00261934" w:rsidP="0089710F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3</w:t>
            </w:r>
            <w:r w:rsidR="0089710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7</w:t>
            </w:r>
          </w:p>
        </w:tc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劳动与社会保障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26193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26193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26193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36</w:t>
            </w:r>
          </w:p>
        </w:tc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土地资源管理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E2291F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36</w:t>
            </w:r>
          </w:p>
        </w:tc>
        <w:bookmarkStart w:id="0" w:name="_GoBack"/>
        <w:bookmarkEnd w:id="0"/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信息资源管理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18</w:t>
            </w:r>
          </w:p>
        </w:tc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政治学与行政学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26193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20</w:t>
            </w:r>
          </w:p>
        </w:tc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国际政治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18</w:t>
            </w:r>
          </w:p>
        </w:tc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社会学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13175A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20</w:t>
            </w:r>
          </w:p>
        </w:tc>
      </w:tr>
      <w:tr w:rsidR="003E72AF" w:rsidRPr="00984297" w:rsidTr="005A796F">
        <w:trPr>
          <w:trHeight w:val="288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农林经济管理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175A" w:rsidRPr="00984297" w:rsidRDefault="0013175A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175A" w:rsidRPr="00984297" w:rsidRDefault="00261934" w:rsidP="00E509D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984297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10</w:t>
            </w:r>
          </w:p>
        </w:tc>
      </w:tr>
    </w:tbl>
    <w:p w:rsidR="00B24BEC" w:rsidRPr="00B24BEC" w:rsidRDefault="00B24BEC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B24BEC">
        <w:rPr>
          <w:rFonts w:ascii="宋体" w:hAnsi="宋体" w:hint="eastAsia"/>
          <w:b/>
          <w:sz w:val="24"/>
        </w:rPr>
        <w:lastRenderedPageBreak/>
        <w:t>四、主修专业确认工作的程序</w:t>
      </w:r>
    </w:p>
    <w:p w:rsidR="00B24BEC" w:rsidRPr="00B24BEC" w:rsidRDefault="00B24BEC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1. 学生本人在学校规定时间内递交申请；</w:t>
      </w:r>
    </w:p>
    <w:p w:rsidR="00B24BEC" w:rsidRP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2. 申请人数大于规定容量的专业组织学生面试进行遴选；</w:t>
      </w:r>
    </w:p>
    <w:p w:rsidR="00B24BEC" w:rsidRP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3. 主修专业确认工作委员会审核；</w:t>
      </w:r>
    </w:p>
    <w:p w:rsidR="00B24BEC" w:rsidRP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4. 确认结果予以公示；</w:t>
      </w:r>
    </w:p>
    <w:p w:rsidR="00B24BEC" w:rsidRDefault="00B24BEC" w:rsidP="008D2CE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>5. 上报学校。</w:t>
      </w:r>
    </w:p>
    <w:p w:rsidR="00A47939" w:rsidRPr="003E72AF" w:rsidRDefault="00A47939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3E72AF">
        <w:rPr>
          <w:rFonts w:ascii="宋体" w:hAnsi="宋体" w:hint="eastAsia"/>
          <w:b/>
          <w:sz w:val="24"/>
        </w:rPr>
        <w:t>五、</w:t>
      </w:r>
      <w:r w:rsidR="006C1F71" w:rsidRPr="003E72AF">
        <w:rPr>
          <w:rFonts w:ascii="宋体" w:hAnsi="宋体" w:hint="eastAsia"/>
          <w:b/>
          <w:sz w:val="24"/>
        </w:rPr>
        <w:t>接收学生转专业</w:t>
      </w:r>
    </w:p>
    <w:p w:rsidR="00A90AA8" w:rsidRPr="003E72AF" w:rsidRDefault="004F6541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 w:rsidRPr="003E72AF">
        <w:rPr>
          <w:rFonts w:ascii="宋体" w:hAnsi="宋体" w:hint="eastAsia"/>
          <w:sz w:val="24"/>
        </w:rPr>
        <w:t>1.学生</w:t>
      </w:r>
      <w:r w:rsidR="00BB39C0" w:rsidRPr="003E72AF">
        <w:rPr>
          <w:rFonts w:ascii="宋体" w:hAnsi="宋体" w:hint="eastAsia"/>
          <w:sz w:val="24"/>
        </w:rPr>
        <w:t>在第一学年申请转入公共管理学院的，学院接</w:t>
      </w:r>
      <w:r w:rsidR="00A90AA8" w:rsidRPr="003E72AF">
        <w:rPr>
          <w:rFonts w:ascii="宋体" w:hAnsi="宋体" w:hint="eastAsia"/>
          <w:sz w:val="24"/>
        </w:rPr>
        <w:t>收</w:t>
      </w:r>
      <w:r w:rsidR="00BB39C0" w:rsidRPr="003E72AF">
        <w:rPr>
          <w:rFonts w:ascii="宋体" w:hAnsi="宋体" w:hint="eastAsia"/>
          <w:sz w:val="24"/>
        </w:rPr>
        <w:t>申请的截止日期为</w:t>
      </w:r>
      <w:r w:rsidR="00A90AA8" w:rsidRPr="003E72AF">
        <w:rPr>
          <w:rFonts w:ascii="宋体" w:hAnsi="宋体" w:hint="eastAsia"/>
          <w:sz w:val="24"/>
        </w:rPr>
        <w:t>当年的</w:t>
      </w:r>
      <w:r w:rsidR="00BB39C0" w:rsidRPr="003E72AF">
        <w:rPr>
          <w:rFonts w:ascii="宋体" w:hAnsi="宋体" w:hint="eastAsia"/>
          <w:sz w:val="24"/>
        </w:rPr>
        <w:t>5月底，并在6月底前审核完毕；学生</w:t>
      </w:r>
      <w:r w:rsidR="00A90AA8" w:rsidRPr="003E72AF">
        <w:rPr>
          <w:rFonts w:ascii="宋体" w:hAnsi="宋体" w:hint="eastAsia"/>
          <w:sz w:val="24"/>
        </w:rPr>
        <w:t>在第二学年秋冬</w:t>
      </w:r>
      <w:r w:rsidR="00BB39C0" w:rsidRPr="003E72AF">
        <w:rPr>
          <w:rFonts w:ascii="宋体" w:hAnsi="宋体" w:hint="eastAsia"/>
          <w:sz w:val="24"/>
        </w:rPr>
        <w:t>学期申请转入公共管理学院的，</w:t>
      </w:r>
      <w:r w:rsidR="00A90AA8" w:rsidRPr="003E72AF">
        <w:rPr>
          <w:rFonts w:ascii="宋体" w:hAnsi="宋体" w:hint="eastAsia"/>
          <w:sz w:val="24"/>
        </w:rPr>
        <w:t>学院接收申请的截止日期为当年的12月底，并在1月中旬前审核完毕；学生在第二学年春夏学期申请转入公共管理学院的，学院接收申请的截止日期为当年暑假放假前，并在下个学期开学初审核完毕。</w:t>
      </w:r>
    </w:p>
    <w:p w:rsidR="004F6541" w:rsidRDefault="004F6541" w:rsidP="008D2CE4">
      <w:pPr>
        <w:tabs>
          <w:tab w:val="left" w:pos="0"/>
        </w:tabs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2.学生</w:t>
      </w:r>
      <w:r w:rsidR="007709E2"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转</w:t>
      </w:r>
      <w:r w:rsidR="007709E2">
        <w:rPr>
          <w:rFonts w:ascii="宋体" w:hAnsi="宋体" w:hint="eastAsia"/>
          <w:sz w:val="24"/>
        </w:rPr>
        <w:t>入</w:t>
      </w:r>
      <w:r>
        <w:rPr>
          <w:rFonts w:ascii="宋体" w:hAnsi="宋体" w:hint="eastAsia"/>
          <w:sz w:val="24"/>
        </w:rPr>
        <w:t>公共管理学院</w:t>
      </w:r>
      <w:r w:rsidR="007709E2">
        <w:rPr>
          <w:rFonts w:ascii="宋体" w:hAnsi="宋体" w:hint="eastAsia"/>
          <w:sz w:val="24"/>
        </w:rPr>
        <w:t>按照</w:t>
      </w:r>
      <w:r w:rsidR="007709E2" w:rsidRPr="007709E2">
        <w:rPr>
          <w:rFonts w:ascii="宋体" w:hAnsi="宋体" w:hint="eastAsia"/>
          <w:sz w:val="24"/>
        </w:rPr>
        <w:t>学院接收转专业学生相关规定办理。</w:t>
      </w:r>
    </w:p>
    <w:p w:rsidR="006D618E" w:rsidRDefault="00B24BEC" w:rsidP="008D2CE4">
      <w:pPr>
        <w:tabs>
          <w:tab w:val="left" w:pos="0"/>
        </w:tabs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B24BEC">
        <w:rPr>
          <w:rFonts w:ascii="宋体" w:hAnsi="宋体" w:hint="eastAsia"/>
          <w:b/>
          <w:sz w:val="24"/>
        </w:rPr>
        <w:tab/>
        <w:t>本细则由公共管理学院本科生管理办公室负责解释。</w:t>
      </w:r>
    </w:p>
    <w:p w:rsidR="007773B7" w:rsidRPr="00B24BEC" w:rsidRDefault="007773B7" w:rsidP="008D2CE4">
      <w:pPr>
        <w:tabs>
          <w:tab w:val="left" w:pos="0"/>
        </w:tabs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:rsidR="00B24BEC" w:rsidRPr="00B24BEC" w:rsidRDefault="00B24BEC" w:rsidP="008D2CE4">
      <w:pPr>
        <w:adjustRightInd w:val="0"/>
        <w:snapToGrid w:val="0"/>
        <w:spacing w:line="360" w:lineRule="auto"/>
        <w:rPr>
          <w:rFonts w:ascii="宋体" w:hAnsi="宋体"/>
          <w:sz w:val="18"/>
          <w:szCs w:val="18"/>
        </w:rPr>
      </w:pPr>
    </w:p>
    <w:p w:rsidR="00B24BEC" w:rsidRPr="00B24BEC" w:rsidRDefault="00B24BEC" w:rsidP="008D2CE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B24BEC">
        <w:rPr>
          <w:rFonts w:ascii="宋体" w:hAnsi="宋体" w:hint="eastAsia"/>
          <w:sz w:val="24"/>
        </w:rPr>
        <w:t xml:space="preserve">                                                 公共管理学院</w:t>
      </w:r>
    </w:p>
    <w:p w:rsidR="00B24BEC" w:rsidRDefault="00B24BEC" w:rsidP="008D2CE4">
      <w:pPr>
        <w:adjustRightInd w:val="0"/>
        <w:snapToGrid w:val="0"/>
        <w:spacing w:line="360" w:lineRule="auto"/>
        <w:rPr>
          <w:rFonts w:ascii="黑体" w:eastAsia="黑体" w:hAnsi="宋体"/>
          <w:b/>
          <w:sz w:val="36"/>
          <w:szCs w:val="36"/>
        </w:rPr>
      </w:pPr>
      <w:r w:rsidRPr="00B24BEC">
        <w:rPr>
          <w:rFonts w:ascii="宋体" w:hAnsi="宋体" w:hint="eastAsia"/>
          <w:sz w:val="24"/>
        </w:rPr>
        <w:t xml:space="preserve">                                                2016年</w:t>
      </w:r>
      <w:r w:rsidR="003B5984">
        <w:rPr>
          <w:rFonts w:ascii="宋体" w:hAnsi="宋体" w:hint="eastAsia"/>
          <w:sz w:val="24"/>
        </w:rPr>
        <w:t>10</w:t>
      </w:r>
      <w:r w:rsidRPr="00B24BEC">
        <w:rPr>
          <w:rFonts w:ascii="宋体" w:hAnsi="宋体" w:hint="eastAsia"/>
          <w:sz w:val="24"/>
        </w:rPr>
        <w:t>月</w:t>
      </w:r>
      <w:r w:rsidR="003B5984">
        <w:rPr>
          <w:rFonts w:ascii="宋体" w:hAnsi="宋体" w:hint="eastAsia"/>
          <w:sz w:val="24"/>
        </w:rPr>
        <w:t>17</w:t>
      </w:r>
      <w:r w:rsidRPr="00B24BEC">
        <w:rPr>
          <w:rFonts w:ascii="宋体" w:hAnsi="宋体" w:hint="eastAsia"/>
          <w:sz w:val="24"/>
        </w:rPr>
        <w:t>日</w:t>
      </w:r>
    </w:p>
    <w:sectPr w:rsidR="00B24BEC" w:rsidSect="003E72AF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E7" w:rsidRDefault="001729E7" w:rsidP="00862E62">
      <w:r>
        <w:separator/>
      </w:r>
    </w:p>
  </w:endnote>
  <w:endnote w:type="continuationSeparator" w:id="0">
    <w:p w:rsidR="001729E7" w:rsidRDefault="001729E7" w:rsidP="0086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E7" w:rsidRDefault="001729E7" w:rsidP="00862E62">
      <w:r>
        <w:separator/>
      </w:r>
    </w:p>
  </w:footnote>
  <w:footnote w:type="continuationSeparator" w:id="0">
    <w:p w:rsidR="001729E7" w:rsidRDefault="001729E7" w:rsidP="0086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60"/>
    <w:rsid w:val="00012C2E"/>
    <w:rsid w:val="00033E22"/>
    <w:rsid w:val="00051E86"/>
    <w:rsid w:val="000521DC"/>
    <w:rsid w:val="00056810"/>
    <w:rsid w:val="00063853"/>
    <w:rsid w:val="0006411A"/>
    <w:rsid w:val="00091514"/>
    <w:rsid w:val="000A6DF8"/>
    <w:rsid w:val="000C3EC7"/>
    <w:rsid w:val="000C585A"/>
    <w:rsid w:val="00105E86"/>
    <w:rsid w:val="00127C63"/>
    <w:rsid w:val="0013175A"/>
    <w:rsid w:val="00141601"/>
    <w:rsid w:val="00152070"/>
    <w:rsid w:val="00157009"/>
    <w:rsid w:val="001674F8"/>
    <w:rsid w:val="001729E7"/>
    <w:rsid w:val="0017405C"/>
    <w:rsid w:val="00184FAF"/>
    <w:rsid w:val="00190DD1"/>
    <w:rsid w:val="001A66A1"/>
    <w:rsid w:val="001F6EC8"/>
    <w:rsid w:val="00202ED8"/>
    <w:rsid w:val="00203E4E"/>
    <w:rsid w:val="002118E2"/>
    <w:rsid w:val="00211F8C"/>
    <w:rsid w:val="00227B1A"/>
    <w:rsid w:val="00227D59"/>
    <w:rsid w:val="00237FC7"/>
    <w:rsid w:val="002450D4"/>
    <w:rsid w:val="00250F21"/>
    <w:rsid w:val="00261934"/>
    <w:rsid w:val="00283B5B"/>
    <w:rsid w:val="0029057E"/>
    <w:rsid w:val="002A4F1F"/>
    <w:rsid w:val="002B28B1"/>
    <w:rsid w:val="002B2960"/>
    <w:rsid w:val="002C4F97"/>
    <w:rsid w:val="002D38B2"/>
    <w:rsid w:val="0032099C"/>
    <w:rsid w:val="00361F70"/>
    <w:rsid w:val="003866B2"/>
    <w:rsid w:val="003B179E"/>
    <w:rsid w:val="003B5984"/>
    <w:rsid w:val="003D1438"/>
    <w:rsid w:val="003D7C2F"/>
    <w:rsid w:val="003D7C51"/>
    <w:rsid w:val="003E0660"/>
    <w:rsid w:val="003E16FB"/>
    <w:rsid w:val="003E4F9A"/>
    <w:rsid w:val="003E72AF"/>
    <w:rsid w:val="0043160F"/>
    <w:rsid w:val="0043583C"/>
    <w:rsid w:val="00455C58"/>
    <w:rsid w:val="00465589"/>
    <w:rsid w:val="0047298D"/>
    <w:rsid w:val="004736AE"/>
    <w:rsid w:val="00474FD0"/>
    <w:rsid w:val="004800AA"/>
    <w:rsid w:val="004814C5"/>
    <w:rsid w:val="004B2121"/>
    <w:rsid w:val="004B4DD8"/>
    <w:rsid w:val="004B69D8"/>
    <w:rsid w:val="004D1908"/>
    <w:rsid w:val="004D3427"/>
    <w:rsid w:val="004F6541"/>
    <w:rsid w:val="005104C5"/>
    <w:rsid w:val="00526842"/>
    <w:rsid w:val="00527353"/>
    <w:rsid w:val="0053620C"/>
    <w:rsid w:val="00542BF5"/>
    <w:rsid w:val="00544FBF"/>
    <w:rsid w:val="005840A4"/>
    <w:rsid w:val="005A14C3"/>
    <w:rsid w:val="005A4812"/>
    <w:rsid w:val="005A796F"/>
    <w:rsid w:val="005D4DCC"/>
    <w:rsid w:val="005F356F"/>
    <w:rsid w:val="005F7D58"/>
    <w:rsid w:val="00605880"/>
    <w:rsid w:val="006059EB"/>
    <w:rsid w:val="00642933"/>
    <w:rsid w:val="00647413"/>
    <w:rsid w:val="00647CC8"/>
    <w:rsid w:val="00651030"/>
    <w:rsid w:val="00677E59"/>
    <w:rsid w:val="00683EA4"/>
    <w:rsid w:val="00687F11"/>
    <w:rsid w:val="0069339D"/>
    <w:rsid w:val="00697A21"/>
    <w:rsid w:val="006C1F71"/>
    <w:rsid w:val="006D618E"/>
    <w:rsid w:val="006F4308"/>
    <w:rsid w:val="006F5998"/>
    <w:rsid w:val="00712917"/>
    <w:rsid w:val="0071750A"/>
    <w:rsid w:val="0073408A"/>
    <w:rsid w:val="0073791A"/>
    <w:rsid w:val="00737EFE"/>
    <w:rsid w:val="007709E2"/>
    <w:rsid w:val="007773B7"/>
    <w:rsid w:val="0079212D"/>
    <w:rsid w:val="007D1C9A"/>
    <w:rsid w:val="0082695E"/>
    <w:rsid w:val="00843D85"/>
    <w:rsid w:val="00862E62"/>
    <w:rsid w:val="00876644"/>
    <w:rsid w:val="00893AB7"/>
    <w:rsid w:val="0089710F"/>
    <w:rsid w:val="008A60E5"/>
    <w:rsid w:val="008B23F7"/>
    <w:rsid w:val="008C661F"/>
    <w:rsid w:val="008D2CE4"/>
    <w:rsid w:val="008E41D0"/>
    <w:rsid w:val="008E4FFE"/>
    <w:rsid w:val="009007D9"/>
    <w:rsid w:val="00901851"/>
    <w:rsid w:val="009048A0"/>
    <w:rsid w:val="00904BD6"/>
    <w:rsid w:val="00905DC2"/>
    <w:rsid w:val="00930EF4"/>
    <w:rsid w:val="009407C2"/>
    <w:rsid w:val="009432EA"/>
    <w:rsid w:val="00955D9A"/>
    <w:rsid w:val="00963161"/>
    <w:rsid w:val="00984297"/>
    <w:rsid w:val="00986E7D"/>
    <w:rsid w:val="00986EFB"/>
    <w:rsid w:val="00993077"/>
    <w:rsid w:val="00997CC5"/>
    <w:rsid w:val="009C0288"/>
    <w:rsid w:val="009D0A80"/>
    <w:rsid w:val="00A02C16"/>
    <w:rsid w:val="00A126C6"/>
    <w:rsid w:val="00A12B35"/>
    <w:rsid w:val="00A47939"/>
    <w:rsid w:val="00A512CF"/>
    <w:rsid w:val="00A5386A"/>
    <w:rsid w:val="00A54C44"/>
    <w:rsid w:val="00A86315"/>
    <w:rsid w:val="00A90AA8"/>
    <w:rsid w:val="00A920CA"/>
    <w:rsid w:val="00A94F50"/>
    <w:rsid w:val="00AA0363"/>
    <w:rsid w:val="00AB5FD2"/>
    <w:rsid w:val="00AC28B5"/>
    <w:rsid w:val="00AE11B9"/>
    <w:rsid w:val="00AF5263"/>
    <w:rsid w:val="00B053D8"/>
    <w:rsid w:val="00B24BEC"/>
    <w:rsid w:val="00B30BD5"/>
    <w:rsid w:val="00B40C7C"/>
    <w:rsid w:val="00B52B4E"/>
    <w:rsid w:val="00BA52FA"/>
    <w:rsid w:val="00BB39C0"/>
    <w:rsid w:val="00BB57E4"/>
    <w:rsid w:val="00BC3359"/>
    <w:rsid w:val="00BE27DF"/>
    <w:rsid w:val="00BF0D82"/>
    <w:rsid w:val="00C339BC"/>
    <w:rsid w:val="00C6744C"/>
    <w:rsid w:val="00C853D1"/>
    <w:rsid w:val="00CB4056"/>
    <w:rsid w:val="00CC4220"/>
    <w:rsid w:val="00CD49C8"/>
    <w:rsid w:val="00CE791E"/>
    <w:rsid w:val="00CF0E42"/>
    <w:rsid w:val="00CF360B"/>
    <w:rsid w:val="00D166CA"/>
    <w:rsid w:val="00D227F2"/>
    <w:rsid w:val="00D4060A"/>
    <w:rsid w:val="00D4456C"/>
    <w:rsid w:val="00D46C50"/>
    <w:rsid w:val="00D65982"/>
    <w:rsid w:val="00D84FBA"/>
    <w:rsid w:val="00D90FB8"/>
    <w:rsid w:val="00D950D3"/>
    <w:rsid w:val="00DD0978"/>
    <w:rsid w:val="00DF7C8D"/>
    <w:rsid w:val="00E21C64"/>
    <w:rsid w:val="00E2291F"/>
    <w:rsid w:val="00E36E48"/>
    <w:rsid w:val="00E509D4"/>
    <w:rsid w:val="00E51F9E"/>
    <w:rsid w:val="00E6592C"/>
    <w:rsid w:val="00E71262"/>
    <w:rsid w:val="00E91F7C"/>
    <w:rsid w:val="00E972D6"/>
    <w:rsid w:val="00EA3130"/>
    <w:rsid w:val="00EA3891"/>
    <w:rsid w:val="00EA4A08"/>
    <w:rsid w:val="00ED7A57"/>
    <w:rsid w:val="00F505AF"/>
    <w:rsid w:val="00F7328B"/>
    <w:rsid w:val="00F87B68"/>
    <w:rsid w:val="00F925BE"/>
    <w:rsid w:val="00F9513C"/>
    <w:rsid w:val="00FB7F2F"/>
    <w:rsid w:val="00FD67F7"/>
    <w:rsid w:val="00FE11A8"/>
    <w:rsid w:val="00FE1316"/>
    <w:rsid w:val="00FE5876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1D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D1C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D1C9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6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2E6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2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2E62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179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179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1D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D1C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D1C9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6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2E6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2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2E62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179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179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172</Words>
  <Characters>985</Characters>
  <Application>Microsoft Office Word</Application>
  <DocSecurity>0</DocSecurity>
  <Lines>8</Lines>
  <Paragraphs>2</Paragraphs>
  <ScaleCrop>false</ScaleCrop>
  <Company>Zhejiang University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王卫星</dc:creator>
  <cp:lastModifiedBy>SPA-UAO-User</cp:lastModifiedBy>
  <cp:revision>32</cp:revision>
  <cp:lastPrinted>2016-10-17T06:46:00Z</cp:lastPrinted>
  <dcterms:created xsi:type="dcterms:W3CDTF">2016-09-23T05:29:00Z</dcterms:created>
  <dcterms:modified xsi:type="dcterms:W3CDTF">2016-10-17T07:55:00Z</dcterms:modified>
</cp:coreProperties>
</file>