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jc w:val="left"/>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pPr>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36：</w:t>
      </w:r>
      <w:bookmarkStart w:id="0" w:name="_GoBack"/>
      <w:bookmarkEnd w:id="0"/>
    </w:p>
    <w:p>
      <w:pPr>
        <w:pStyle w:val="2"/>
        <w:spacing w:beforeAutospacing="0" w:afterAutospacing="0" w:line="640" w:lineRule="exact"/>
        <w:jc w:val="center"/>
        <w:rPr>
          <w:rFonts w:hint="default" w:ascii="Times New Roman" w:hAnsi="Times New Roman" w:eastAsia="方正大标宋_GBK"/>
          <w:b w:val="0"/>
          <w:bCs w:val="0"/>
          <w:color w:val="000000" w:themeColor="text1"/>
          <w:sz w:val="44"/>
          <w:szCs w:val="44"/>
          <w14:textFill>
            <w14:solidFill>
              <w14:schemeClr w14:val="tx1"/>
            </w14:solidFill>
          </w14:textFill>
        </w:rPr>
      </w:pPr>
      <w:r>
        <w:rPr>
          <w:rFonts w:ascii="Times New Roman" w:hAnsi="Times New Roman" w:eastAsia="方正大标宋_GBK"/>
          <w:b w:val="0"/>
          <w:bCs w:val="0"/>
          <w:color w:val="000000" w:themeColor="text1"/>
          <w:sz w:val="44"/>
          <w:szCs w:val="44"/>
          <w14:textFill>
            <w14:solidFill>
              <w14:schemeClr w14:val="tx1"/>
            </w14:solidFill>
          </w14:textFill>
        </w:rPr>
        <w:t>“未来粮食供应的合成生物学创新解决</w:t>
      </w:r>
    </w:p>
    <w:p>
      <w:pPr>
        <w:pStyle w:val="2"/>
        <w:spacing w:beforeAutospacing="0" w:afterAutospacing="0" w:line="640" w:lineRule="exact"/>
        <w:jc w:val="center"/>
        <w:rPr>
          <w:rFonts w:hint="default" w:ascii="Times New Roman" w:hAnsi="Times New Roman" w:eastAsia="方正大标宋_GBK"/>
          <w:b w:val="0"/>
          <w:bCs w:val="0"/>
          <w:color w:val="000000" w:themeColor="text1"/>
          <w:sz w:val="44"/>
          <w:szCs w:val="44"/>
          <w14:textFill>
            <w14:solidFill>
              <w14:schemeClr w14:val="tx1"/>
            </w14:solidFill>
          </w14:textFill>
        </w:rPr>
      </w:pPr>
      <w:r>
        <w:rPr>
          <w:rFonts w:ascii="Times New Roman" w:hAnsi="Times New Roman" w:eastAsia="方正大标宋_GBK"/>
          <w:b w:val="0"/>
          <w:bCs w:val="0"/>
          <w:color w:val="000000" w:themeColor="text1"/>
          <w:sz w:val="44"/>
          <w:szCs w:val="44"/>
          <w14:textFill>
            <w14:solidFill>
              <w14:schemeClr w14:val="tx1"/>
            </w14:solidFill>
          </w14:textFill>
        </w:rPr>
        <w:t>方案”比赛方案</w:t>
      </w:r>
    </w:p>
    <w:p>
      <w:pPr>
        <w:widowControl/>
        <w:spacing w:line="640" w:lineRule="exact"/>
        <w:jc w:val="center"/>
        <w:rPr>
          <w:rFonts w:hint="eastAsia" w:ascii="方正楷体_GBK" w:hAnsi="方正楷体_GBK" w:eastAsia="方正楷体_GBK" w:cs="方正楷体_GBK"/>
          <w:sz w:val="28"/>
          <w:szCs w:val="30"/>
        </w:rPr>
      </w:pPr>
      <w:r>
        <w:rPr>
          <w:rFonts w:hint="eastAsia" w:ascii="方正楷体_GBK" w:hAnsi="方正楷体_GBK" w:eastAsia="方正楷体_GBK" w:cs="方正楷体_GBK"/>
          <w:color w:val="000000" w:themeColor="text1"/>
          <w:kern w:val="0"/>
          <w:sz w:val="32"/>
          <w:szCs w:val="32"/>
          <w14:textFill>
            <w14:solidFill>
              <w14:schemeClr w14:val="tx1"/>
            </w14:solidFill>
          </w14:textFill>
        </w:rPr>
        <w:t>（中粮营养健康研究院有限公司）</w:t>
      </w:r>
    </w:p>
    <w:p>
      <w:pPr>
        <w:spacing w:line="520" w:lineRule="exact"/>
        <w:ind w:firstLine="440" w:firstLineChars="200"/>
        <w:jc w:val="center"/>
        <w:rPr>
          <w:rFonts w:eastAsia="方正黑体_GBK"/>
          <w:sz w:val="22"/>
          <w:szCs w:val="30"/>
        </w:rPr>
      </w:pPr>
    </w:p>
    <w:p>
      <w:pPr>
        <w:pStyle w:val="3"/>
        <w:pageBreakBefore w:val="0"/>
        <w:kinsoku/>
        <w:wordWrap/>
        <w:overflowPunct/>
        <w:topLinePunct w:val="0"/>
        <w:autoSpaceDE/>
        <w:autoSpaceDN/>
        <w:bidi w:val="0"/>
        <w:adjustRightInd/>
        <w:snapToGrid/>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一、组织单位</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sz w:val="32"/>
          <w:szCs w:val="32"/>
        </w:rPr>
      </w:pPr>
      <w:r>
        <w:rPr>
          <w:rFonts w:eastAsia="方正仿宋_GBK"/>
          <w:sz w:val="32"/>
          <w:szCs w:val="32"/>
        </w:rPr>
        <w:t>中粮营养健康研究院有限公司</w:t>
      </w:r>
    </w:p>
    <w:p>
      <w:pPr>
        <w:pStyle w:val="3"/>
        <w:pageBreakBefore w:val="0"/>
        <w:kinsoku/>
        <w:wordWrap/>
        <w:overflowPunct/>
        <w:topLinePunct w:val="0"/>
        <w:autoSpaceDE/>
        <w:autoSpaceDN/>
        <w:bidi w:val="0"/>
        <w:adjustRightInd/>
        <w:snapToGrid/>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二、参赛题目</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sz w:val="32"/>
          <w:szCs w:val="32"/>
        </w:rPr>
      </w:pPr>
      <w:r>
        <w:rPr>
          <w:rFonts w:hint="eastAsia" w:eastAsia="方正仿宋_GBK"/>
          <w:sz w:val="32"/>
          <w:szCs w:val="32"/>
        </w:rPr>
        <w:t>未来粮食供应的合成生物学创新解决方案</w:t>
      </w:r>
    </w:p>
    <w:p>
      <w:pPr>
        <w:pStyle w:val="3"/>
        <w:pageBreakBefore w:val="0"/>
        <w:kinsoku/>
        <w:wordWrap/>
        <w:overflowPunct/>
        <w:topLinePunct w:val="0"/>
        <w:autoSpaceDE/>
        <w:autoSpaceDN/>
        <w:bidi w:val="0"/>
        <w:adjustRightInd/>
        <w:snapToGrid/>
        <w:ind w:left="0" w:firstLine="640" w:firstLineChars="200"/>
        <w:jc w:val="both"/>
        <w:textAlignment w:val="auto"/>
        <w:rPr>
          <w:rFonts w:eastAsia="方正黑体_GBK"/>
          <w:szCs w:val="32"/>
        </w:rPr>
      </w:pPr>
      <w:r>
        <w:rPr>
          <w:rFonts w:eastAsia="方正黑体_GBK"/>
          <w:szCs w:val="32"/>
        </w:rPr>
        <w:t>三、题目介绍</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sz w:val="32"/>
          <w:szCs w:val="32"/>
        </w:rPr>
      </w:pPr>
      <w:r>
        <w:rPr>
          <w:rFonts w:hint="eastAsia" w:eastAsia="方正仿宋_GBK"/>
          <w:sz w:val="32"/>
          <w:szCs w:val="32"/>
        </w:rPr>
        <w:t>粮食是关系国计民生的重要战略资源，粮食安全是“国之大者”。党中央高度重视国家粮食安全工作，把解决好十几亿人的吃饭问题作为治国理政的头等大事，实施国家粮食安全战略，不断提高我国粮食综合生产能力，坚持藏粮于地、藏粮于技，守住国家粮食安全底线尤为重要。2024年中央一号文件强调“两个确保”，排在第一位的就是确保国家粮食安全，确保粮食安全需要从增产保供和节粮减损双向发力。目前，我国粮食需求刚性增长，资源环境约束日益趋紧，粮食增面积、提产量的难度越来越大。如何“把中国人的饭碗牢牢端在自己手中”，如何保障十四亿人吃饱吃好，是新时期我国正在面临的重大挑战。因此，拓展粮食供应体系、强化未来食品创新、布局未来健康产业刻不容缓。</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sz w:val="32"/>
          <w:szCs w:val="32"/>
        </w:rPr>
      </w:pPr>
      <w:r>
        <w:rPr>
          <w:rFonts w:hint="eastAsia" w:eastAsia="方正仿宋_GBK"/>
          <w:sz w:val="32"/>
          <w:szCs w:val="32"/>
        </w:rPr>
        <w:t>合成生物学</w:t>
      </w:r>
      <w:r>
        <w:rPr>
          <w:rFonts w:hint="eastAsia" w:eastAsia="方正仿宋_GBK"/>
          <w:sz w:val="32"/>
          <w:szCs w:val="32"/>
          <w:lang w:eastAsia="zh-CN"/>
        </w:rPr>
        <w:t>，</w:t>
      </w:r>
      <w:r>
        <w:rPr>
          <w:rFonts w:hint="eastAsia" w:eastAsia="方正仿宋_GBK"/>
          <w:sz w:val="32"/>
          <w:szCs w:val="32"/>
        </w:rPr>
        <w:t>以其构建、控制和编程细胞行为的能力</w:t>
      </w:r>
      <w:r>
        <w:rPr>
          <w:rFonts w:hint="eastAsia" w:eastAsia="方正仿宋_GBK"/>
          <w:sz w:val="32"/>
          <w:szCs w:val="32"/>
          <w:lang w:eastAsia="zh-CN"/>
        </w:rPr>
        <w:t>，</w:t>
      </w:r>
      <w:r>
        <w:rPr>
          <w:rFonts w:hint="eastAsia" w:eastAsia="方正仿宋_GBK"/>
          <w:sz w:val="32"/>
          <w:szCs w:val="32"/>
        </w:rPr>
        <w:t>展现出了其在农粮食品领域应用的巨大潜力，被称为继“DNA双螺旋结构的发现”和“人类基因组计划”之后的第三次生物技术革命，是“粮食安全”“大食物观”“碳中和”发展战略的重要诠释，当前合成生物学技术已成为全球主要经济体国家战略竞争新焦点。</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方正楷体_GBK"/>
          <w:sz w:val="32"/>
          <w:szCs w:val="32"/>
        </w:rPr>
      </w:pPr>
      <w:r>
        <w:rPr>
          <w:rFonts w:hint="default" w:ascii="Times New Roman" w:hAnsi="Times New Roman" w:eastAsia="方正楷体_GBK" w:cs="Times New Roman"/>
          <w:kern w:val="2"/>
          <w:sz w:val="32"/>
          <w:szCs w:val="32"/>
          <w:lang w:val="en-US" w:eastAsia="zh-CN" w:bidi="ar-SA"/>
        </w:rPr>
        <w:t>1.</w:t>
      </w:r>
      <w:r>
        <w:rPr>
          <w:rFonts w:hint="eastAsia" w:eastAsia="方正楷体_GBK"/>
          <w:sz w:val="32"/>
          <w:szCs w:val="32"/>
        </w:rPr>
        <w:t>增产保供：践行大食物观，构建多元化食物供给体系</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sz w:val="32"/>
          <w:szCs w:val="32"/>
        </w:rPr>
      </w:pPr>
      <w:r>
        <w:rPr>
          <w:rFonts w:hint="eastAsia" w:eastAsia="方正仿宋_GBK"/>
          <w:sz w:val="32"/>
          <w:szCs w:val="32"/>
        </w:rPr>
        <w:t>以合成生物学技术为核心，聚焦向微生物要热量、要蛋白和多元化原料制粮的全新技术方案，旨在全方位、多途径拓展粮食资源，既要满足人民对“量”的需要，也要满足人民对“质”的追求。创新粮食多效营养，开发粮食多重功能，革新国家粮食供应体系。</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方正楷体_GBK"/>
          <w:sz w:val="32"/>
          <w:szCs w:val="32"/>
        </w:rPr>
      </w:pPr>
      <w:r>
        <w:rPr>
          <w:rFonts w:hint="default" w:ascii="Times New Roman" w:hAnsi="Times New Roman" w:eastAsia="方正楷体_GBK" w:cs="Times New Roman"/>
          <w:kern w:val="2"/>
          <w:sz w:val="32"/>
          <w:szCs w:val="32"/>
          <w:lang w:val="en-US" w:eastAsia="zh-CN" w:bidi="ar-SA"/>
        </w:rPr>
        <w:t>2.</w:t>
      </w:r>
      <w:r>
        <w:rPr>
          <w:rFonts w:hint="eastAsia" w:eastAsia="方正楷体_GBK"/>
          <w:sz w:val="32"/>
          <w:szCs w:val="32"/>
        </w:rPr>
        <w:t>节粮减损：落实“藏粮于技”全产业链保障粮食安全</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sz w:val="32"/>
          <w:szCs w:val="32"/>
        </w:rPr>
      </w:pPr>
      <w:r>
        <w:rPr>
          <w:rFonts w:hint="eastAsia" w:eastAsia="方正仿宋_GBK"/>
          <w:sz w:val="32"/>
          <w:szCs w:val="32"/>
        </w:rPr>
        <w:t>聚焦种植、收储、生产加工等环节节粮减损需求，开发全链条保障粮食供应安全的合成生物新技术、新工艺、新方案。</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sz w:val="32"/>
          <w:szCs w:val="32"/>
        </w:rPr>
      </w:pPr>
      <w:r>
        <w:rPr>
          <w:rFonts w:hint="eastAsia" w:eastAsia="方正仿宋_GBK"/>
          <w:sz w:val="32"/>
          <w:szCs w:val="32"/>
        </w:rPr>
        <w:t>参赛队伍可选择上述但不限于上述可对“增产保供”和“节粮减损”起到关键作用的措施和技术手段为开发方向，开展方案设计。</w:t>
      </w:r>
    </w:p>
    <w:p>
      <w:pPr>
        <w:pStyle w:val="3"/>
        <w:pageBreakBefore w:val="0"/>
        <w:kinsoku/>
        <w:wordWrap/>
        <w:overflowPunct/>
        <w:topLinePunct w:val="0"/>
        <w:autoSpaceDE/>
        <w:autoSpaceDN/>
        <w:bidi w:val="0"/>
        <w:adjustRightInd/>
        <w:snapToGrid/>
        <w:ind w:left="0" w:firstLine="640" w:firstLineChars="200"/>
        <w:jc w:val="both"/>
        <w:textAlignment w:val="auto"/>
        <w:rPr>
          <w:rFonts w:hint="eastAsia" w:eastAsia="方正黑体_GBK"/>
          <w:szCs w:val="32"/>
          <w:lang w:val="en-US" w:eastAsia="zh-CN"/>
        </w:rPr>
      </w:pPr>
      <w:r>
        <w:rPr>
          <w:rFonts w:eastAsia="方正黑体_GBK"/>
          <w:szCs w:val="32"/>
        </w:rPr>
        <w:t>四、</w:t>
      </w:r>
      <w:r>
        <w:rPr>
          <w:rFonts w:hint="eastAsia" w:eastAsia="方正黑体_GBK"/>
          <w:szCs w:val="32"/>
          <w:lang w:val="en-US"/>
        </w:rPr>
        <w:t>参赛</w:t>
      </w:r>
      <w:r>
        <w:rPr>
          <w:rFonts w:hint="eastAsia" w:eastAsia="方正黑体_GBK"/>
          <w:szCs w:val="32"/>
          <w:lang w:val="en-US" w:eastAsia="zh-CN"/>
        </w:rPr>
        <w:t>对象</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sz w:val="32"/>
          <w:szCs w:val="32"/>
        </w:rPr>
      </w:pPr>
      <w:r>
        <w:rPr>
          <w:rFonts w:hint="eastAsia" w:eastAsia="方正仿宋_GBK"/>
          <w:sz w:val="32"/>
          <w:szCs w:val="32"/>
        </w:rPr>
        <w:t>2024年6月1日以前正式注册的全日制非成人教育的各类高等院校在校专科生、本科生、硕士研究生（不含在职研究生）均可申报作品参赛，以个人或团队形式参赛均可，每个团队不超过10人（含作品申报者），每件作品可由不超过3名教师指导完成。可以跨专业、跨校、跨地域组队。</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sz w:val="32"/>
          <w:szCs w:val="32"/>
        </w:rPr>
      </w:pPr>
      <w:r>
        <w:rPr>
          <w:rFonts w:hint="eastAsia" w:eastAsia="方正仿宋_GBK"/>
          <w:sz w:val="32"/>
          <w:szCs w:val="32"/>
        </w:rPr>
        <w:t>本校硕博连读生（直博生）若在2024年6月1日以前未通过博士资格考试的，可以按研究生学历申报作品。没有实行资格考试制度的学校，前两年可以按硕士学历申报作品。本硕博连读生，按照四年、两年分别对应本、硕申报，后续则不可申报。</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sz w:val="32"/>
          <w:szCs w:val="32"/>
        </w:rPr>
      </w:pPr>
      <w:r>
        <w:rPr>
          <w:rFonts w:hint="eastAsia" w:eastAsia="方正仿宋_GBK"/>
          <w:sz w:val="32"/>
          <w:szCs w:val="32"/>
        </w:rPr>
        <w:t>毕业设计和课程设计（论文）、学年论文和学位论文、国际竞赛中获奖的作品、获国家级奖励成果（含本竞赛主办单位参与举办的其他全国性竞赛的获奖作品）等均不在申报范围之列。</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sz w:val="32"/>
          <w:szCs w:val="32"/>
        </w:rPr>
      </w:pPr>
      <w:r>
        <w:rPr>
          <w:rFonts w:hint="eastAsia" w:eastAsia="方正仿宋_GBK"/>
          <w:sz w:val="32"/>
          <w:szCs w:val="32"/>
        </w:rPr>
        <w:t>每件作品仅可由1所高校推报，高校在推报前要对参赛团队成员及作品进行相关资格审查。</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sz w:val="32"/>
          <w:szCs w:val="32"/>
        </w:rPr>
      </w:pPr>
      <w:r>
        <w:rPr>
          <w:rFonts w:hint="eastAsia" w:eastAsia="方正仿宋_GBK"/>
          <w:sz w:val="32"/>
          <w:szCs w:val="32"/>
        </w:rPr>
        <w:t>每所学校选送参加专项赛的作品数量不设限制，但同一作品不得同时参加第十九届“挑战杯”全国大学生课外学术科技作品竞赛主体赛事自然科学类学术论文、哲学社会科学类调查报告、科技发明制作作品评比。</w:t>
      </w:r>
    </w:p>
    <w:p>
      <w:pPr>
        <w:pStyle w:val="3"/>
        <w:pageBreakBefore w:val="0"/>
        <w:kinsoku/>
        <w:wordWrap/>
        <w:overflowPunct/>
        <w:topLinePunct w:val="0"/>
        <w:autoSpaceDE/>
        <w:autoSpaceDN/>
        <w:bidi w:val="0"/>
        <w:adjustRightInd/>
        <w:snapToGrid/>
        <w:ind w:left="0" w:firstLine="640" w:firstLineChars="200"/>
        <w:jc w:val="both"/>
        <w:textAlignment w:val="auto"/>
        <w:rPr>
          <w:rFonts w:hint="eastAsia" w:eastAsia="方正黑体_GBK"/>
          <w:szCs w:val="32"/>
        </w:rPr>
      </w:pPr>
      <w:r>
        <w:rPr>
          <w:rFonts w:hint="eastAsia" w:eastAsia="方正黑体_GBK"/>
          <w:szCs w:val="32"/>
          <w:lang w:val="en-US" w:eastAsia="zh-CN"/>
        </w:rPr>
        <w:t>五、</w:t>
      </w:r>
      <w:r>
        <w:rPr>
          <w:rFonts w:hint="eastAsia" w:eastAsia="方正黑体_GBK"/>
          <w:szCs w:val="32"/>
        </w:rPr>
        <w:t>作品要求</w:t>
      </w:r>
    </w:p>
    <w:p>
      <w:pPr>
        <w:pStyle w:val="3"/>
        <w:pageBreakBefore w:val="0"/>
        <w:kinsoku/>
        <w:wordWrap/>
        <w:overflowPunct/>
        <w:topLinePunct w:val="0"/>
        <w:autoSpaceDE/>
        <w:autoSpaceDN/>
        <w:bidi w:val="0"/>
        <w:adjustRightInd/>
        <w:snapToGrid/>
        <w:ind w:left="0" w:firstLine="640" w:firstLineChars="200"/>
        <w:jc w:val="both"/>
        <w:textAlignment w:val="auto"/>
        <w:rPr>
          <w:rFonts w:eastAsia="方正仿宋_GBK"/>
          <w:sz w:val="32"/>
          <w:szCs w:val="32"/>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1.</w:t>
      </w:r>
      <w:r>
        <w:rPr>
          <w:rFonts w:hint="eastAsia" w:eastAsia="方正仿宋_GBK"/>
          <w:color w:val="000000" w:themeColor="text1"/>
          <w:sz w:val="32"/>
          <w:szCs w:val="32"/>
          <w:lang w:val="en-US" w:eastAsia="zh-CN"/>
          <w14:textFill>
            <w14:solidFill>
              <w14:schemeClr w14:val="tx1"/>
            </w14:solidFill>
          </w14:textFill>
        </w:rPr>
        <w:t xml:space="preserve"> </w:t>
      </w:r>
      <w:r>
        <w:rPr>
          <w:rFonts w:hint="eastAsia" w:eastAsia="方正仿宋_GBK"/>
          <w:sz w:val="32"/>
          <w:szCs w:val="32"/>
        </w:rPr>
        <w:t>各参赛队伍需提交《项目研究报告》</w:t>
      </w:r>
      <w:r>
        <w:rPr>
          <w:rFonts w:hint="default" w:ascii="Times New Roman" w:hAnsi="Times New Roman" w:eastAsia="方正仿宋_GBK" w:cs="Times New Roman"/>
          <w:sz w:val="32"/>
          <w:szCs w:val="32"/>
        </w:rPr>
        <w:t>Word</w:t>
      </w:r>
      <w:r>
        <w:rPr>
          <w:rFonts w:hint="eastAsia" w:eastAsia="方正仿宋_GBK"/>
          <w:sz w:val="32"/>
          <w:szCs w:val="32"/>
        </w:rPr>
        <w:t>版和</w:t>
      </w:r>
      <w:r>
        <w:rPr>
          <w:rFonts w:hint="eastAsia" w:ascii="Times New Roman" w:hAnsi="Times New Roman" w:eastAsia="方正仿宋_GBK" w:cs="Times New Roman"/>
          <w:sz w:val="32"/>
          <w:szCs w:val="32"/>
        </w:rPr>
        <w:t>PPT</w:t>
      </w:r>
      <w:r>
        <w:rPr>
          <w:rFonts w:hint="eastAsia" w:eastAsia="方正仿宋_GBK"/>
          <w:sz w:val="32"/>
          <w:szCs w:val="32"/>
        </w:rPr>
        <w:t>版各一份。</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sz w:val="32"/>
          <w:szCs w:val="32"/>
        </w:rPr>
      </w:pPr>
      <w:r>
        <w:rPr>
          <w:rFonts w:hint="eastAsia" w:eastAsia="方正仿宋_GBK"/>
          <w:color w:val="000000" w:themeColor="text1"/>
          <w:sz w:val="32"/>
          <w:szCs w:val="32"/>
          <w:lang w:val="en-US" w:eastAsia="zh-CN"/>
          <w14:textFill>
            <w14:solidFill>
              <w14:schemeClr w14:val="tx1"/>
            </w14:solidFill>
          </w14:textFill>
        </w:rPr>
        <w:t xml:space="preserve">2. </w:t>
      </w:r>
      <w:r>
        <w:rPr>
          <w:rFonts w:hint="eastAsia" w:eastAsia="方正仿宋_GBK"/>
          <w:sz w:val="32"/>
          <w:szCs w:val="32"/>
        </w:rPr>
        <w:t>Word版报告内容包括但不限于项目概况、项目背景及意义、主要研究内容、实验材料、实验方法、技术路线、研究结果及结论等，重要结论需提供相关支撑证明材料(包括但不限于相关专利、鉴定报告、质检报告等)。</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sz w:val="32"/>
          <w:szCs w:val="32"/>
        </w:rPr>
      </w:pPr>
      <w:r>
        <w:rPr>
          <w:rFonts w:hint="eastAsia" w:eastAsia="方正仿宋_GBK"/>
          <w:color w:val="000000" w:themeColor="text1"/>
          <w:sz w:val="32"/>
          <w:szCs w:val="32"/>
          <w:lang w:val="en-US" w:eastAsia="zh-CN"/>
          <w14:textFill>
            <w14:solidFill>
              <w14:schemeClr w14:val="tx1"/>
            </w14:solidFill>
          </w14:textFill>
        </w:rPr>
        <w:t xml:space="preserve">3. </w:t>
      </w:r>
      <w:r>
        <w:rPr>
          <w:rFonts w:hint="eastAsia" w:eastAsia="方正仿宋_GBK"/>
          <w:sz w:val="32"/>
          <w:szCs w:val="32"/>
        </w:rPr>
        <w:t>PPT版报告内容包括但不限于项目背景、发展现状及趋势分析、研究思路及技术路线、主要研究内容、核心技术/创新点、重要结论、研究成果产业化落地性（包括但不限于技术及工艺成本、成本测算依据、应用场景、产业化路径等）。</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sz w:val="32"/>
          <w:szCs w:val="32"/>
        </w:rPr>
      </w:pPr>
      <w:r>
        <w:rPr>
          <w:rFonts w:hint="eastAsia" w:eastAsia="方正仿宋_GBK"/>
          <w:color w:val="000000" w:themeColor="text1"/>
          <w:sz w:val="32"/>
          <w:szCs w:val="32"/>
          <w:lang w:val="en-US" w:eastAsia="zh-CN"/>
          <w14:textFill>
            <w14:solidFill>
              <w14:schemeClr w14:val="tx1"/>
            </w14:solidFill>
          </w14:textFill>
        </w:rPr>
        <w:t xml:space="preserve">4. </w:t>
      </w:r>
      <w:r>
        <w:rPr>
          <w:rFonts w:hint="eastAsia" w:eastAsia="方正仿宋_GBK"/>
          <w:sz w:val="32"/>
          <w:szCs w:val="32"/>
        </w:rPr>
        <w:t>所有提交材料均要求观点明确，图文并茂、数据准确，结构完整，文字简洁流畅，内容必须紧紧围绕本次项目的主题，结合本企业具体实际，对解决实际问题具有指导意义，并具有一定的创新性。</w:t>
      </w:r>
    </w:p>
    <w:p>
      <w:pPr>
        <w:pStyle w:val="3"/>
        <w:pageBreakBefore w:val="0"/>
        <w:kinsoku/>
        <w:wordWrap/>
        <w:overflowPunct/>
        <w:topLinePunct w:val="0"/>
        <w:autoSpaceDE/>
        <w:autoSpaceDN/>
        <w:bidi w:val="0"/>
        <w:adjustRightInd/>
        <w:snapToGrid/>
        <w:ind w:left="0" w:firstLine="640" w:firstLineChars="200"/>
        <w:jc w:val="both"/>
        <w:textAlignment w:val="auto"/>
        <w:rPr>
          <w:rFonts w:hint="eastAsia" w:eastAsia="方正黑体_GBK"/>
          <w:szCs w:val="32"/>
          <w:lang w:eastAsia="zh-CN"/>
        </w:rPr>
      </w:pPr>
      <w:r>
        <w:rPr>
          <w:rFonts w:hint="eastAsia" w:eastAsia="方正黑体_GBK"/>
          <w:szCs w:val="32"/>
          <w:lang w:val="en-US" w:eastAsia="zh-CN"/>
        </w:rPr>
        <w:t>六、</w:t>
      </w:r>
      <w:r>
        <w:rPr>
          <w:rFonts w:hint="eastAsia" w:eastAsia="方正黑体_GBK"/>
          <w:szCs w:val="32"/>
          <w:lang w:eastAsia="zh-CN"/>
        </w:rPr>
        <w:t>作品提交</w:t>
      </w:r>
      <w:r>
        <w:rPr>
          <w:rFonts w:hint="eastAsia" w:eastAsia="方正黑体_GBK"/>
          <w:szCs w:val="32"/>
          <w:lang w:val="en-US" w:eastAsia="zh-CN"/>
        </w:rPr>
        <w:t>方式</w:t>
      </w:r>
      <w:r>
        <w:rPr>
          <w:rFonts w:hint="eastAsia" w:eastAsia="方正黑体_GBK"/>
          <w:szCs w:val="32"/>
          <w:lang w:eastAsia="zh-CN"/>
        </w:rPr>
        <w:t>及时间</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sz w:val="32"/>
          <w:szCs w:val="32"/>
        </w:rPr>
      </w:pPr>
      <w:r>
        <w:rPr>
          <w:rFonts w:hint="eastAsia" w:eastAsia="方正仿宋_GBK"/>
          <w:color w:val="000000" w:themeColor="text1"/>
          <w:sz w:val="32"/>
          <w:szCs w:val="32"/>
          <w:lang w:val="en-US" w:eastAsia="zh-CN"/>
          <w14:textFill>
            <w14:solidFill>
              <w14:schemeClr w14:val="tx1"/>
            </w14:solidFill>
          </w14:textFill>
        </w:rPr>
        <w:t xml:space="preserve">1. </w:t>
      </w:r>
      <w:r>
        <w:rPr>
          <w:rFonts w:hint="eastAsia" w:eastAsia="方正仿宋_GBK"/>
          <w:sz w:val="32"/>
          <w:szCs w:val="32"/>
        </w:rPr>
        <w:t>高校渠道参赛请通过PC电脑登录</w:t>
      </w:r>
      <w:r>
        <w:rPr>
          <w:rFonts w:eastAsia="方正仿宋_GBK"/>
          <w:sz w:val="32"/>
          <w:szCs w:val="32"/>
        </w:rPr>
        <w:t>https://tzb.xc.eol.cn/</w:t>
      </w:r>
      <w:r>
        <w:rPr>
          <w:rFonts w:hint="eastAsia" w:eastAsia="方正仿宋_GBK"/>
          <w:sz w:val="32"/>
          <w:szCs w:val="32"/>
        </w:rPr>
        <w:t>，查阅选题信息及要求。</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sz w:val="32"/>
          <w:szCs w:val="32"/>
        </w:rPr>
      </w:pPr>
      <w:r>
        <w:rPr>
          <w:rFonts w:hint="eastAsia" w:eastAsia="方正仿宋_GBK"/>
          <w:color w:val="000000" w:themeColor="text1"/>
          <w:sz w:val="32"/>
          <w:szCs w:val="32"/>
          <w:lang w:val="en-US" w:eastAsia="zh-CN"/>
          <w14:textFill>
            <w14:solidFill>
              <w14:schemeClr w14:val="tx1"/>
            </w14:solidFill>
          </w14:textFill>
        </w:rPr>
        <w:t xml:space="preserve">2. </w:t>
      </w:r>
      <w:r>
        <w:rPr>
          <w:rFonts w:hint="eastAsia" w:eastAsia="方正仿宋_GBK"/>
          <w:sz w:val="32"/>
          <w:szCs w:val="32"/>
        </w:rPr>
        <w:t>确认报名选题后，在线填写报名表（请注意报名表格式、要求）。</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sz w:val="32"/>
          <w:szCs w:val="32"/>
        </w:rPr>
      </w:pPr>
      <w:r>
        <w:rPr>
          <w:rFonts w:hint="eastAsia" w:eastAsia="方正仿宋_GBK"/>
          <w:color w:val="000000" w:themeColor="text1"/>
          <w:sz w:val="32"/>
          <w:szCs w:val="32"/>
          <w:lang w:val="en-US" w:eastAsia="zh-CN"/>
          <w14:textFill>
            <w14:solidFill>
              <w14:schemeClr w14:val="tx1"/>
            </w14:solidFill>
          </w14:textFill>
        </w:rPr>
        <w:t xml:space="preserve">3. </w:t>
      </w:r>
      <w:r>
        <w:rPr>
          <w:rFonts w:hint="eastAsia" w:eastAsia="方正仿宋_GBK"/>
          <w:sz w:val="32"/>
          <w:szCs w:val="32"/>
        </w:rPr>
        <w:t>填写完报名表后，下载电子版报名表。将电子版报名表打印，由所在学校的学籍管理部门、院系负责人或导师、学校团委，三方进行盖章或签字。</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sz w:val="32"/>
          <w:szCs w:val="32"/>
        </w:rPr>
      </w:pPr>
      <w:r>
        <w:rPr>
          <w:rFonts w:hint="eastAsia" w:eastAsia="方正仿宋_GBK"/>
          <w:color w:val="000000" w:themeColor="text1"/>
          <w:sz w:val="32"/>
          <w:szCs w:val="32"/>
          <w:lang w:val="en-US" w:eastAsia="zh-CN"/>
          <w14:textFill>
            <w14:solidFill>
              <w14:schemeClr w14:val="tx1"/>
            </w14:solidFill>
          </w14:textFill>
        </w:rPr>
        <w:t xml:space="preserve">4. </w:t>
      </w:r>
      <w:r>
        <w:rPr>
          <w:rFonts w:hint="eastAsia" w:eastAsia="方正仿宋_GBK"/>
          <w:sz w:val="32"/>
          <w:szCs w:val="32"/>
        </w:rPr>
        <w:t>盖章签字流程完成后，扫描电子版盖章件，将盖章件上传至系统并提交，提交后耐心等待所在学校及发榜单位进行系统审核。</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 xml:space="preserve">5. </w:t>
      </w:r>
      <w:r>
        <w:rPr>
          <w:rFonts w:hint="eastAsia" w:eastAsia="方正仿宋_GBK"/>
          <w:sz w:val="32"/>
          <w:szCs w:val="32"/>
        </w:rPr>
        <w:t>登录系统查看审核状态。如申报表审核不通过，需重新提交。如申报表审核通过，请于</w:t>
      </w:r>
      <w:r>
        <w:rPr>
          <w:rFonts w:eastAsia="方正仿宋_GBK"/>
          <w:sz w:val="32"/>
          <w:szCs w:val="32"/>
        </w:rPr>
        <w:t>202</w:t>
      </w:r>
      <w:r>
        <w:rPr>
          <w:rFonts w:hint="eastAsia" w:eastAsia="方正仿宋_GBK"/>
          <w:sz w:val="32"/>
          <w:szCs w:val="32"/>
        </w:rPr>
        <w:t>4</w:t>
      </w:r>
      <w:r>
        <w:rPr>
          <w:rFonts w:eastAsia="方正仿宋_GBK"/>
          <w:sz w:val="32"/>
          <w:szCs w:val="32"/>
        </w:rPr>
        <w:t>年</w:t>
      </w:r>
      <w:r>
        <w:rPr>
          <w:rFonts w:hint="eastAsia" w:eastAsia="方正仿宋_GBK"/>
          <w:sz w:val="32"/>
          <w:szCs w:val="32"/>
        </w:rPr>
        <w:t>7月25日前</w:t>
      </w:r>
      <w:r>
        <w:rPr>
          <w:rFonts w:eastAsia="方正仿宋_GBK"/>
          <w:sz w:val="32"/>
          <w:szCs w:val="32"/>
        </w:rPr>
        <w:t>，</w:t>
      </w:r>
      <w:r>
        <w:rPr>
          <w:rFonts w:hint="eastAsia" w:eastAsia="方正仿宋_GBK"/>
          <w:sz w:val="32"/>
          <w:szCs w:val="32"/>
        </w:rPr>
        <w:t>将纸质盖章表邮寄至中粮营养健康研究院（收件人信息：北京市昌平区北七家镇未来科学城南区四路，中粮营养健康研究院，赵鑫</w:t>
      </w:r>
      <w:r>
        <w:rPr>
          <w:rFonts w:hint="eastAsia" w:eastAsia="方正仿宋_GBK"/>
          <w:sz w:val="32"/>
          <w:szCs w:val="32"/>
          <w:lang w:eastAsia="zh-CN"/>
        </w:rPr>
        <w:t>，</w:t>
      </w:r>
      <w:r>
        <w:rPr>
          <w:rFonts w:hint="eastAsia" w:eastAsia="方正仿宋_GBK"/>
          <w:sz w:val="32"/>
          <w:szCs w:val="32"/>
        </w:rPr>
        <w:t>13910998612），</w:t>
      </w:r>
      <w:r>
        <w:rPr>
          <w:rFonts w:eastAsia="方正仿宋_GBK"/>
          <w:color w:val="000000" w:themeColor="text1"/>
          <w:sz w:val="32"/>
          <w:szCs w:val="32"/>
          <w14:textFill>
            <w14:solidFill>
              <w14:schemeClr w14:val="tx1"/>
            </w14:solidFill>
          </w14:textFill>
        </w:rPr>
        <w:t>具体操作流程详见报名网站《操作手册》。</w:t>
      </w:r>
      <w:r>
        <w:rPr>
          <w:rFonts w:hint="eastAsia" w:eastAsia="方正仿宋_GBK"/>
          <w:color w:val="000000" w:themeColor="text1"/>
          <w:sz w:val="32"/>
          <w:szCs w:val="32"/>
          <w14:textFill>
            <w14:solidFill>
              <w14:schemeClr w14:val="tx1"/>
            </w14:solidFill>
          </w14:textFill>
        </w:rPr>
        <w:t>并将申报表扫描件、</w:t>
      </w:r>
      <w:r>
        <w:rPr>
          <w:rFonts w:hint="eastAsia" w:eastAsia="方正仿宋_GBK"/>
          <w:sz w:val="32"/>
          <w:szCs w:val="32"/>
        </w:rPr>
        <w:t>作品及附件等整理成压缩文件，并以“XXX大学—XXX团队—XX题目—联系方式”命名后</w:t>
      </w:r>
      <w:r>
        <w:rPr>
          <w:rFonts w:eastAsia="方正仿宋_GBK"/>
          <w:sz w:val="32"/>
          <w:szCs w:val="32"/>
        </w:rPr>
        <w:t>发送至</w:t>
      </w:r>
      <w:r>
        <w:rPr>
          <w:rFonts w:hint="eastAsia" w:eastAsia="方正仿宋_GBK"/>
          <w:sz w:val="32"/>
          <w:szCs w:val="32"/>
        </w:rPr>
        <w:t>邮箱</w:t>
      </w:r>
      <w:r>
        <w:rPr>
          <w:rStyle w:val="12"/>
          <w:sz w:val="32"/>
          <w:szCs w:val="32"/>
        </w:rPr>
        <w:t>nhritw@cofco.com</w:t>
      </w:r>
      <w:r>
        <w:rPr>
          <w:rFonts w:hint="eastAsia" w:eastAsia="方正仿宋_GBK"/>
          <w:sz w:val="32"/>
          <w:szCs w:val="32"/>
        </w:rPr>
        <w:t>。</w:t>
      </w:r>
      <w:r>
        <w:rPr>
          <w:rFonts w:eastAsia="方正仿宋_GBK"/>
          <w:sz w:val="32"/>
          <w:szCs w:val="32"/>
        </w:rPr>
        <w:t>如附件较大，可将附件传至网盘，</w:t>
      </w:r>
      <w:r>
        <w:rPr>
          <w:rFonts w:hint="eastAsia" w:eastAsia="方正仿宋_GBK"/>
          <w:sz w:val="32"/>
          <w:szCs w:val="32"/>
        </w:rPr>
        <w:t>并将</w:t>
      </w:r>
      <w:r>
        <w:rPr>
          <w:rFonts w:eastAsia="方正仿宋_GBK"/>
          <w:sz w:val="32"/>
          <w:szCs w:val="32"/>
        </w:rPr>
        <w:t>网盘链接及密码附在邮件正文中。</w:t>
      </w:r>
    </w:p>
    <w:p>
      <w:pPr>
        <w:pStyle w:val="3"/>
        <w:pageBreakBefore w:val="0"/>
        <w:kinsoku/>
        <w:wordWrap/>
        <w:overflowPunct/>
        <w:topLinePunct w:val="0"/>
        <w:autoSpaceDE/>
        <w:autoSpaceDN/>
        <w:bidi w:val="0"/>
        <w:adjustRightInd/>
        <w:snapToGrid/>
        <w:ind w:left="0" w:firstLine="640" w:firstLineChars="200"/>
        <w:jc w:val="both"/>
        <w:textAlignment w:val="auto"/>
        <w:rPr>
          <w:rFonts w:hint="eastAsia" w:eastAsia="方正黑体_GBK"/>
          <w:szCs w:val="32"/>
          <w:lang w:eastAsia="zh-CN"/>
        </w:rPr>
      </w:pPr>
      <w:r>
        <w:rPr>
          <w:rFonts w:hint="eastAsia" w:eastAsia="方正黑体_GBK"/>
          <w:szCs w:val="32"/>
          <w:lang w:val="en-US" w:eastAsia="zh-CN"/>
        </w:rPr>
        <w:t>七、</w:t>
      </w:r>
      <w:r>
        <w:rPr>
          <w:rFonts w:hint="eastAsia" w:eastAsia="方正黑体_GBK"/>
          <w:szCs w:val="32"/>
          <w:lang w:eastAsia="zh-CN"/>
        </w:rPr>
        <w:t>赛事安排</w:t>
      </w:r>
    </w:p>
    <w:p>
      <w:pPr>
        <w:pStyle w:val="4"/>
        <w:pageBreakBefore w:val="0"/>
        <w:kinsoku/>
        <w:wordWrap/>
        <w:overflowPunct/>
        <w:topLinePunct w:val="0"/>
        <w:autoSpaceDE/>
        <w:autoSpaceDN/>
        <w:bidi w:val="0"/>
        <w:adjustRightInd/>
        <w:snapToGrid/>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 xml:space="preserve">1. </w:t>
      </w:r>
      <w:r>
        <w:rPr>
          <w:rFonts w:hint="eastAsia" w:ascii="Times New Roman" w:hAnsi="Times New Roman" w:eastAsia="方正楷体_GBK"/>
          <w:color w:val="000000" w:themeColor="text1"/>
          <w:lang w:val="en-US"/>
          <w14:textFill>
            <w14:solidFill>
              <w14:schemeClr w14:val="tx1"/>
            </w14:solidFill>
          </w14:textFill>
        </w:rPr>
        <w:t>竞榜</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sz w:val="32"/>
          <w:szCs w:val="32"/>
        </w:rPr>
      </w:pPr>
      <w:r>
        <w:rPr>
          <w:rFonts w:hint="eastAsia" w:eastAsia="方正仿宋_GBK"/>
          <w:sz w:val="32"/>
          <w:szCs w:val="32"/>
        </w:rPr>
        <w:t>2024年</w:t>
      </w:r>
      <w:r>
        <w:rPr>
          <w:rFonts w:hint="eastAsia" w:eastAsia="方正仿宋_GBK"/>
          <w:sz w:val="32"/>
          <w:szCs w:val="32"/>
          <w:lang w:val="en-US" w:eastAsia="zh-CN"/>
        </w:rPr>
        <w:t>4</w:t>
      </w:r>
      <w:r>
        <w:rPr>
          <w:rFonts w:hint="eastAsia" w:eastAsia="方正仿宋_GBK"/>
          <w:sz w:val="32"/>
          <w:szCs w:val="32"/>
        </w:rPr>
        <w:t>月-2024年7月，各参赛团队选择榜单中的题目开展科研攻关。各高校“挑战杯”竞赛组织协调机构要积极组织学生参赛，安排有关老师给予指导，为参赛团队提供支持保障。7月25日前提交作品。</w:t>
      </w:r>
    </w:p>
    <w:p>
      <w:pPr>
        <w:pStyle w:val="4"/>
        <w:pageBreakBefore w:val="0"/>
        <w:kinsoku/>
        <w:wordWrap/>
        <w:overflowPunct/>
        <w:topLinePunct w:val="0"/>
        <w:autoSpaceDE/>
        <w:autoSpaceDN/>
        <w:bidi w:val="0"/>
        <w:adjustRightInd/>
        <w:snapToGrid/>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 xml:space="preserve">2. </w:t>
      </w:r>
      <w:r>
        <w:rPr>
          <w:rFonts w:hint="eastAsia" w:ascii="Times New Roman" w:hAnsi="Times New Roman" w:eastAsia="方正楷体_GBK"/>
          <w:color w:val="000000" w:themeColor="text1"/>
          <w:lang w:val="en-US"/>
          <w14:textFill>
            <w14:solidFill>
              <w14:schemeClr w14:val="tx1"/>
            </w14:solidFill>
          </w14:textFill>
        </w:rPr>
        <w:t>评榜</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sz w:val="32"/>
          <w:szCs w:val="32"/>
        </w:rPr>
      </w:pPr>
      <w:r>
        <w:rPr>
          <w:rFonts w:hint="eastAsia" w:eastAsia="方正仿宋_GBK"/>
          <w:sz w:val="32"/>
          <w:szCs w:val="32"/>
        </w:rPr>
        <w:t>2024年8月，组委会和中粮营养健康研究院共同开展初审，确定入围终审的晋级作品和团队。</w:t>
      </w:r>
    </w:p>
    <w:p>
      <w:pPr>
        <w:pStyle w:val="4"/>
        <w:pageBreakBefore w:val="0"/>
        <w:numPr>
          <w:ilvl w:val="0"/>
          <w:numId w:val="1"/>
        </w:numPr>
        <w:kinsoku/>
        <w:wordWrap/>
        <w:overflowPunct/>
        <w:topLinePunct w:val="0"/>
        <w:autoSpaceDE/>
        <w:autoSpaceDN/>
        <w:bidi w:val="0"/>
        <w:adjustRightInd/>
        <w:snapToGrid/>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hint="eastAsia" w:ascii="Times New Roman" w:hAnsi="Times New Roman" w:eastAsia="方正楷体_GBK"/>
          <w:color w:val="000000" w:themeColor="text1"/>
          <w:lang w:val="en-US"/>
          <w14:textFill>
            <w14:solidFill>
              <w14:schemeClr w14:val="tx1"/>
            </w14:solidFill>
          </w14:textFill>
        </w:rPr>
        <w:t>夺榜</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sz w:val="32"/>
          <w:szCs w:val="32"/>
        </w:rPr>
      </w:pPr>
      <w:r>
        <w:rPr>
          <w:rFonts w:hint="eastAsia" w:eastAsia="方正仿宋_GBK"/>
          <w:sz w:val="32"/>
          <w:szCs w:val="32"/>
        </w:rPr>
        <w:t>2024年9月，本选题晋级团队完善作品，中粮营养健康研究院安排专门团队提供帮助和指导，冲刺攻关参加终审和“擂台赛”。获得特等奖的团队晋级最终“擂台赛”，并进行现场展示和答辩，“擂台赛”环节对榜单的每个选题原则上评出1个“擂主”。出题方与“擂主”团队现场签约并给予奖励。</w:t>
      </w:r>
    </w:p>
    <w:p>
      <w:pPr>
        <w:pStyle w:val="3"/>
        <w:pageBreakBefore w:val="0"/>
        <w:kinsoku/>
        <w:wordWrap/>
        <w:overflowPunct/>
        <w:topLinePunct w:val="0"/>
        <w:autoSpaceDE/>
        <w:autoSpaceDN/>
        <w:bidi w:val="0"/>
        <w:adjustRightInd/>
        <w:snapToGrid/>
        <w:ind w:left="0" w:firstLine="640" w:firstLineChars="200"/>
        <w:jc w:val="both"/>
        <w:textAlignment w:val="auto"/>
        <w:rPr>
          <w:rFonts w:eastAsia="方正黑体_GBK"/>
          <w:szCs w:val="32"/>
          <w:lang w:val="en-US" w:eastAsia="zh-CN"/>
        </w:rPr>
      </w:pPr>
      <w:r>
        <w:rPr>
          <w:rFonts w:hint="eastAsia" w:eastAsia="方正黑体_GBK"/>
          <w:szCs w:val="32"/>
          <w:lang w:val="en-US" w:eastAsia="zh-CN"/>
        </w:rPr>
        <w:t>八、设奖情况及</w:t>
      </w:r>
      <w:r>
        <w:rPr>
          <w:rFonts w:eastAsia="方正黑体_GBK"/>
          <w:szCs w:val="32"/>
          <w:lang w:val="en-US" w:eastAsia="zh-CN"/>
        </w:rPr>
        <w:t>奖励措施</w:t>
      </w:r>
    </w:p>
    <w:p>
      <w:pPr>
        <w:pStyle w:val="4"/>
        <w:pageBreakBefore w:val="0"/>
        <w:numPr>
          <w:ilvl w:val="0"/>
          <w:numId w:val="2"/>
        </w:numPr>
        <w:kinsoku/>
        <w:wordWrap/>
        <w:overflowPunct/>
        <w:topLinePunct w:val="0"/>
        <w:autoSpaceDE/>
        <w:autoSpaceDN/>
        <w:bidi w:val="0"/>
        <w:adjustRightInd/>
        <w:snapToGrid/>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设奖情况</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sz w:val="32"/>
          <w:szCs w:val="32"/>
        </w:rPr>
      </w:pPr>
      <w:r>
        <w:rPr>
          <w:rFonts w:hint="eastAsia" w:eastAsia="方正仿宋_GBK"/>
          <w:sz w:val="32"/>
          <w:szCs w:val="32"/>
        </w:rPr>
        <w:t>本选题设特等奖5个，一等奖10个、二等奖各15个、三等奖各18个。获得特等奖的团队晋级最终“擂台赛”。</w:t>
      </w:r>
    </w:p>
    <w:p>
      <w:pPr>
        <w:pStyle w:val="4"/>
        <w:pageBreakBefore w:val="0"/>
        <w:numPr>
          <w:ilvl w:val="0"/>
          <w:numId w:val="2"/>
        </w:numPr>
        <w:kinsoku/>
        <w:wordWrap/>
        <w:overflowPunct/>
        <w:topLinePunct w:val="0"/>
        <w:autoSpaceDE/>
        <w:autoSpaceDN/>
        <w:bidi w:val="0"/>
        <w:adjustRightInd/>
        <w:snapToGrid/>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奖励措施</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sz w:val="32"/>
          <w:szCs w:val="32"/>
        </w:rPr>
      </w:pPr>
      <w:r>
        <w:rPr>
          <w:rFonts w:hint="eastAsia" w:eastAsia="方正仿宋_GBK"/>
          <w:sz w:val="32"/>
          <w:szCs w:val="32"/>
        </w:rPr>
        <w:t>“擂主”奖金10000元，特等奖奖金4000元，一等奖奖金3000元，二等奖奖金2000元，三等奖奖金1000元。擂主奖金与特等奖奖金可累加，即14000元。</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sz w:val="32"/>
          <w:szCs w:val="32"/>
        </w:rPr>
      </w:pPr>
      <w:r>
        <w:rPr>
          <w:rFonts w:hint="eastAsia" w:eastAsia="方正仿宋_GBK"/>
          <w:sz w:val="32"/>
          <w:szCs w:val="32"/>
        </w:rPr>
        <w:t>对于选择本题目的学生可优先安排实习工作，对获奖且有意愿到公司工作的学生可优先录用。</w:t>
      </w:r>
    </w:p>
    <w:p>
      <w:pPr>
        <w:pStyle w:val="3"/>
        <w:pageBreakBefore w:val="0"/>
        <w:kinsoku/>
        <w:wordWrap/>
        <w:overflowPunct/>
        <w:topLinePunct w:val="0"/>
        <w:autoSpaceDE/>
        <w:autoSpaceDN/>
        <w:bidi w:val="0"/>
        <w:adjustRightInd/>
        <w:snapToGrid/>
        <w:ind w:left="0" w:firstLine="640" w:firstLineChars="200"/>
        <w:jc w:val="both"/>
        <w:textAlignment w:val="auto"/>
        <w:rPr>
          <w:rFonts w:hint="eastAsia" w:eastAsia="方正黑体_GBK"/>
          <w:szCs w:val="32"/>
          <w:lang w:val="en-US" w:eastAsia="zh-CN"/>
        </w:rPr>
      </w:pPr>
      <w:r>
        <w:rPr>
          <w:rFonts w:hint="eastAsia" w:eastAsia="方正黑体_GBK"/>
          <w:szCs w:val="32"/>
          <w:lang w:val="en-US" w:eastAsia="zh-CN"/>
        </w:rPr>
        <w:t>九、保障措施</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sz w:val="32"/>
          <w:szCs w:val="32"/>
        </w:rPr>
      </w:pPr>
      <w:r>
        <w:rPr>
          <w:rFonts w:hint="eastAsia" w:eastAsia="方正仿宋_GBK"/>
          <w:sz w:val="32"/>
          <w:szCs w:val="32"/>
        </w:rPr>
        <w:t>本选题设专项赛专班，专门人员负责比赛联络组织和赛务工作，专门技术指导团队及时解答参赛选手的相关技术问题。</w:t>
      </w:r>
    </w:p>
    <w:p>
      <w:pPr>
        <w:pageBreakBefore w:val="0"/>
        <w:kinsoku/>
        <w:wordWrap/>
        <w:overflowPunct/>
        <w:topLinePunct w:val="0"/>
        <w:autoSpaceDE/>
        <w:autoSpaceDN/>
        <w:bidi w:val="0"/>
        <w:adjustRightInd/>
        <w:snapToGrid/>
        <w:spacing w:line="560" w:lineRule="exact"/>
        <w:ind w:left="0" w:firstLine="640" w:firstLineChars="200"/>
        <w:textAlignment w:val="auto"/>
        <w:rPr>
          <w:rFonts w:hint="eastAsia" w:eastAsia="方正仿宋_GBK"/>
          <w:sz w:val="32"/>
          <w:szCs w:val="32"/>
        </w:rPr>
      </w:pPr>
      <w:r>
        <w:rPr>
          <w:rFonts w:hint="eastAsia" w:eastAsia="方正仿宋_GBK"/>
          <w:sz w:val="32"/>
          <w:szCs w:val="32"/>
        </w:rPr>
        <w:t>参赛团队可在比赛进行期间，提前两周时间向中粮营养健康研究院递交参观交流申请，经审批同意后，可赴中粮营养健康研究院进行参观交流。</w:t>
      </w:r>
    </w:p>
    <w:p>
      <w:pPr>
        <w:pStyle w:val="3"/>
        <w:pageBreakBefore w:val="0"/>
        <w:kinsoku/>
        <w:wordWrap/>
        <w:overflowPunct/>
        <w:topLinePunct w:val="0"/>
        <w:autoSpaceDE/>
        <w:autoSpaceDN/>
        <w:bidi w:val="0"/>
        <w:adjustRightInd/>
        <w:snapToGrid/>
        <w:ind w:left="0" w:firstLine="640" w:firstLineChars="200"/>
        <w:jc w:val="both"/>
        <w:textAlignment w:val="auto"/>
        <w:rPr>
          <w:rFonts w:eastAsia="方正黑体_GBK"/>
          <w:szCs w:val="32"/>
        </w:rPr>
      </w:pPr>
      <w:r>
        <w:rPr>
          <w:rFonts w:hint="eastAsia" w:eastAsia="方正黑体_GBK"/>
          <w:szCs w:val="32"/>
          <w:lang w:val="en-US" w:eastAsia="zh-CN"/>
        </w:rPr>
        <w:t>十</w:t>
      </w:r>
      <w:r>
        <w:rPr>
          <w:rFonts w:hint="eastAsia" w:eastAsia="方正黑体_GBK"/>
          <w:szCs w:val="32"/>
        </w:rPr>
        <w:t>、企业比赛专班联系方式</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sz w:val="32"/>
          <w:szCs w:val="32"/>
        </w:rPr>
      </w:pPr>
      <w:r>
        <w:rPr>
          <w:rFonts w:hint="eastAsia" w:eastAsia="方正仿宋_GBK"/>
          <w:sz w:val="32"/>
          <w:szCs w:val="32"/>
        </w:rPr>
        <w:t>如针对比赛流程或题目有任何问题，请于工作日（每周一至周五上午9时至下午17时）与比赛专班取得联系。</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sz w:val="32"/>
          <w:szCs w:val="32"/>
        </w:rPr>
      </w:pPr>
      <w:r>
        <w:rPr>
          <w:rFonts w:hint="eastAsia" w:eastAsia="方正仿宋_GBK"/>
          <w:sz w:val="32"/>
          <w:szCs w:val="32"/>
        </w:rPr>
        <w:t>1.</w:t>
      </w:r>
      <w:r>
        <w:rPr>
          <w:rFonts w:eastAsia="方正仿宋_GBK"/>
          <w:sz w:val="32"/>
          <w:szCs w:val="32"/>
        </w:rPr>
        <w:t xml:space="preserve"> </w:t>
      </w:r>
      <w:r>
        <w:rPr>
          <w:rFonts w:hint="eastAsia" w:eastAsia="方正仿宋_GBK"/>
          <w:sz w:val="32"/>
          <w:szCs w:val="32"/>
        </w:rPr>
        <w:t>赛事组织服务团队</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sz w:val="32"/>
          <w:szCs w:val="32"/>
        </w:rPr>
      </w:pPr>
      <w:r>
        <w:rPr>
          <w:rFonts w:hint="eastAsia" w:eastAsia="方正仿宋_GBK"/>
          <w:sz w:val="32"/>
          <w:szCs w:val="32"/>
        </w:rPr>
        <w:t xml:space="preserve">人员1：卞  祺  </w:t>
      </w:r>
      <w:r>
        <w:rPr>
          <w:rFonts w:eastAsia="方正仿宋_GBK"/>
          <w:sz w:val="32"/>
          <w:szCs w:val="32"/>
        </w:rPr>
        <w:t>15811098677</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sz w:val="32"/>
          <w:szCs w:val="32"/>
        </w:rPr>
      </w:pPr>
      <w:r>
        <w:rPr>
          <w:rFonts w:hint="eastAsia" w:eastAsia="方正仿宋_GBK"/>
          <w:sz w:val="32"/>
          <w:szCs w:val="32"/>
        </w:rPr>
        <w:t xml:space="preserve">人员2：赵  鑫  </w:t>
      </w:r>
      <w:r>
        <w:rPr>
          <w:rFonts w:eastAsia="方正仿宋_GBK"/>
          <w:sz w:val="32"/>
          <w:szCs w:val="32"/>
        </w:rPr>
        <w:t>13910998612</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楷体_GBK"/>
          <w:sz w:val="32"/>
          <w:szCs w:val="32"/>
        </w:rPr>
      </w:pPr>
      <w:r>
        <w:rPr>
          <w:rFonts w:hint="eastAsia" w:eastAsia="方正楷体_GBK"/>
          <w:sz w:val="32"/>
          <w:szCs w:val="32"/>
        </w:rPr>
        <w:t>2.</w:t>
      </w:r>
      <w:r>
        <w:rPr>
          <w:rFonts w:eastAsia="方正楷体_GBK"/>
          <w:sz w:val="32"/>
          <w:szCs w:val="32"/>
        </w:rPr>
        <w:t xml:space="preserve"> </w:t>
      </w:r>
      <w:r>
        <w:rPr>
          <w:rFonts w:hint="eastAsia" w:eastAsia="方正楷体_GBK"/>
          <w:sz w:val="32"/>
          <w:szCs w:val="32"/>
        </w:rPr>
        <w:t>专家指导团队</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sz w:val="32"/>
          <w:szCs w:val="32"/>
        </w:rPr>
      </w:pPr>
      <w:r>
        <w:rPr>
          <w:rFonts w:hint="eastAsia" w:eastAsia="方正仿宋_GBK"/>
          <w:sz w:val="32"/>
          <w:szCs w:val="32"/>
        </w:rPr>
        <w:t xml:space="preserve">人员1：李 </w:t>
      </w:r>
      <w:r>
        <w:rPr>
          <w:rFonts w:eastAsia="方正仿宋_GBK"/>
          <w:sz w:val="32"/>
          <w:szCs w:val="32"/>
        </w:rPr>
        <w:t xml:space="preserve"> </w:t>
      </w:r>
      <w:r>
        <w:rPr>
          <w:rFonts w:hint="eastAsia" w:eastAsia="方正仿宋_GBK"/>
          <w:sz w:val="32"/>
          <w:szCs w:val="32"/>
        </w:rPr>
        <w:t xml:space="preserve">凡 </w:t>
      </w:r>
      <w:r>
        <w:rPr>
          <w:rFonts w:eastAsia="方正仿宋_GBK"/>
          <w:sz w:val="32"/>
          <w:szCs w:val="32"/>
        </w:rPr>
        <w:t xml:space="preserve"> 13811025627</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sz w:val="32"/>
          <w:szCs w:val="32"/>
        </w:rPr>
      </w:pPr>
      <w:r>
        <w:rPr>
          <w:rFonts w:hint="eastAsia" w:eastAsia="方正仿宋_GBK"/>
          <w:sz w:val="32"/>
          <w:szCs w:val="32"/>
        </w:rPr>
        <w:t xml:space="preserve">人员2：王小艳 </w:t>
      </w:r>
      <w:r>
        <w:rPr>
          <w:rFonts w:eastAsia="方正仿宋_GBK"/>
          <w:sz w:val="32"/>
          <w:szCs w:val="32"/>
        </w:rPr>
        <w:t xml:space="preserve"> 18600408567</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sz w:val="32"/>
          <w:szCs w:val="32"/>
        </w:rPr>
      </w:pPr>
      <w:r>
        <w:rPr>
          <w:rFonts w:hint="eastAsia" w:eastAsia="方正仿宋_GBK"/>
          <w:sz w:val="32"/>
          <w:szCs w:val="32"/>
        </w:rPr>
        <w:t xml:space="preserve">人员3：张 </w:t>
      </w:r>
      <w:r>
        <w:rPr>
          <w:rFonts w:eastAsia="方正仿宋_GBK"/>
          <w:sz w:val="32"/>
          <w:szCs w:val="32"/>
        </w:rPr>
        <w:t xml:space="preserve"> </w:t>
      </w:r>
      <w:r>
        <w:rPr>
          <w:rFonts w:hint="eastAsia" w:eastAsia="方正仿宋_GBK"/>
          <w:sz w:val="32"/>
          <w:szCs w:val="32"/>
        </w:rPr>
        <w:t xml:space="preserve">媛 </w:t>
      </w:r>
      <w:r>
        <w:rPr>
          <w:rFonts w:eastAsia="方正仿宋_GBK"/>
          <w:sz w:val="32"/>
          <w:szCs w:val="32"/>
        </w:rPr>
        <w:t xml:space="preserve"> 15652969694</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sz w:val="32"/>
          <w:szCs w:val="32"/>
        </w:rPr>
      </w:pP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楷体_GBK"/>
          <w:sz w:val="32"/>
          <w:szCs w:val="32"/>
        </w:rPr>
      </w:pPr>
      <w:r>
        <w:rPr>
          <w:rFonts w:hint="eastAsia" w:eastAsia="方正楷体_GBK"/>
          <w:sz w:val="32"/>
          <w:szCs w:val="32"/>
        </w:rPr>
        <w:t xml:space="preserve"> </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楷体_GBK"/>
          <w:sz w:val="32"/>
          <w:szCs w:val="32"/>
        </w:rPr>
      </w:pPr>
    </w:p>
    <w:p>
      <w:pPr>
        <w:spacing w:line="560" w:lineRule="exact"/>
        <w:ind w:firstLine="640" w:firstLineChars="200"/>
        <w:jc w:val="right"/>
        <w:rPr>
          <w:rFonts w:hint="eastAsia" w:ascii="方正仿宋_GBK" w:hAnsi="方正仿宋_GBK" w:eastAsia="方正仿宋_GBK" w:cs="方正仿宋_GBK"/>
          <w:sz w:val="28"/>
          <w:szCs w:val="32"/>
        </w:rPr>
      </w:pP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sz w:val="36"/>
          <w:szCs w:val="32"/>
        </w:rPr>
        <w:t xml:space="preserve"> </w:t>
      </w:r>
      <w:r>
        <w:rPr>
          <w:rFonts w:hint="eastAsia" w:ascii="方正仿宋_GBK" w:hAnsi="方正仿宋_GBK" w:eastAsia="方正仿宋_GBK" w:cs="方正仿宋_GBK"/>
          <w:sz w:val="32"/>
          <w:szCs w:val="32"/>
        </w:rPr>
        <w:t>中粮营养健康研究院有限公司</w:t>
      </w:r>
    </w:p>
    <w:p>
      <w:pPr>
        <w:spacing w:line="560" w:lineRule="exact"/>
        <w:ind w:firstLine="560" w:firstLineChars="200"/>
        <w:jc w:val="left"/>
        <w:rPr>
          <w:rFonts w:eastAsia="方正楷体_GBK"/>
          <w:sz w:val="28"/>
          <w:szCs w:val="32"/>
        </w:rPr>
      </w:pPr>
    </w:p>
    <w:p>
      <w:pPr>
        <w:pStyle w:val="3"/>
        <w:jc w:val="both"/>
        <w:rPr>
          <w:rFonts w:eastAsia="方正楷体_GBK"/>
          <w:sz w:val="24"/>
          <w:szCs w:val="32"/>
        </w:rPr>
      </w:pPr>
      <w:r>
        <w:rPr>
          <w:rFonts w:eastAsia="方正楷体_GBK"/>
          <w:sz w:val="28"/>
          <w:szCs w:val="32"/>
        </w:rPr>
        <w:br w:type="page"/>
      </w:r>
      <w:r>
        <w:rPr>
          <w:rFonts w:hint="eastAsia" w:ascii="Times New Roman" w:hAnsi="Times New Roman" w:eastAsia="方正黑体_GBK"/>
          <w:color w:val="000000" w:themeColor="text1"/>
          <w:lang w:val="en-US"/>
          <w14:textFill>
            <w14:solidFill>
              <w14:schemeClr w14:val="tx1"/>
            </w14:solidFill>
          </w14:textFill>
        </w:rPr>
        <w:t>附：选题申报单位简介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方正仿宋_GBK"/>
          <w:sz w:val="32"/>
          <w:szCs w:val="32"/>
        </w:rPr>
      </w:pPr>
      <w:r>
        <w:rPr>
          <w:rFonts w:hint="eastAsia" w:eastAsia="方正仿宋_GBK"/>
          <w:sz w:val="32"/>
          <w:szCs w:val="32"/>
        </w:rPr>
        <w:t>中粮集团成立于1949年，是中国最大的农产品加工企业。中粮营养健康研究院（下称研究院）隶属于中粮集团，是国内首家以企业为主体的、针对中国人的营养需求和代谢机制进行系统性研究以实现国人健康诉求的研发中心。中粮营养健康研究院下设十个研发中心，生物技术中心、谷物研发中心、油脂研发中心、糖业技术中心、酒业技术中心、动物营养中心、营养与代谢中心、消费者与市场研究中心、食品质量与安全中心、知识管理中心，能够支撑未来食品在微生物筛选、基因工程开发、生物发酵、产品分离制备、食品制品开发、产品营养功能评估、消费者感官评估、产品质量安全控制等各方面的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方正仿宋_GBK"/>
          <w:sz w:val="32"/>
          <w:szCs w:val="32"/>
        </w:rPr>
      </w:pPr>
      <w:r>
        <w:rPr>
          <w:rFonts w:hint="eastAsia" w:eastAsia="方正仿宋_GBK"/>
          <w:sz w:val="32"/>
          <w:szCs w:val="32"/>
        </w:rPr>
        <w:t>除了专业的研发中心，还拥有非粮生物质能技术全国重点实验室、营养健康与食品安全北京市重点实验室、北京市畜产品质量安全源头控制工程技术研究中心、国家能源局生物液体燃料研发（实验）中心、博士后科研工作站、院士专家工作站、国家粮食局粮油质检中心、国家副食品质量监督检验中心、天然产物国家标准样品定值实验室；牵头成立营养健康食品产业技术创新战略联盟；获得国家级高新技术企业认证；获得“首都文明单位”、国家外国专家局“国家引进国外智力示范单位”、国家粮食局“全国科技兴粮示范单位”、国家知识产权局专利局“专利审查员实践活动基地”等称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方正仿宋_GBK"/>
          <w:sz w:val="32"/>
          <w:szCs w:val="32"/>
        </w:rPr>
      </w:pPr>
      <w:r>
        <w:rPr>
          <w:rFonts w:hint="eastAsia" w:eastAsia="方正仿宋_GBK"/>
          <w:sz w:val="32"/>
          <w:szCs w:val="32"/>
        </w:rPr>
        <w:t>中粮营养健康研究院拥有一支学历层次高、年轻有活力、文化多元的创新团队，截止目前总人数222人，平均年龄36岁。博士60人，硕士119人，博士占总人数的27%，硕士及以上占总人数的81%。</w:t>
      </w:r>
    </w:p>
    <w:p>
      <w:pPr>
        <w:spacing w:line="0" w:lineRule="atLeast"/>
        <w:rPr>
          <w:rFonts w:eastAsia="方正仿宋_GBK"/>
          <w:sz w:val="28"/>
          <w:szCs w:val="32"/>
        </w:rPr>
      </w:pPr>
      <w:r>
        <w:rPr>
          <w:rFonts w:eastAsia="方正仿宋_GBK"/>
          <w:sz w:val="28"/>
          <w:szCs w:val="32"/>
        </w:rPr>
        <w:br w:type="page"/>
      </w:r>
    </w:p>
    <w:p>
      <w:pPr>
        <w:pStyle w:val="3"/>
        <w:jc w:val="both"/>
        <w:rPr>
          <w:rFonts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olor w:val="000000" w:themeColor="text1"/>
          <w:lang w:val="en-US"/>
          <w14:textFill>
            <w14:solidFill>
              <w14:schemeClr w14:val="tx1"/>
            </w14:solidFill>
          </w14:textFill>
        </w:rPr>
        <w:t>附表1</w:t>
      </w:r>
      <w:r>
        <w:rPr>
          <w:rFonts w:ascii="Times New Roman" w:hAnsi="Times New Roman" w:eastAsia="方正黑体_GBK"/>
          <w:color w:val="000000" w:themeColor="text1"/>
          <w:lang w:val="en-US"/>
          <w14:textFill>
            <w14:solidFill>
              <w14:schemeClr w14:val="tx1"/>
            </w14:solidFill>
          </w14:textFill>
        </w:rPr>
        <w:t xml:space="preserve">  </w:t>
      </w:r>
      <w:r>
        <w:rPr>
          <w:rFonts w:hint="eastAsia" w:ascii="Times New Roman" w:hAnsi="Times New Roman" w:eastAsia="方正黑体_GBK"/>
          <w:color w:val="000000" w:themeColor="text1"/>
          <w:lang w:val="en-US"/>
          <w14:textFill>
            <w14:solidFill>
              <w14:schemeClr w14:val="tx1"/>
            </w14:solidFill>
          </w14:textFill>
        </w:rPr>
        <w:t>《项目研究报告》评分细则</w:t>
      </w:r>
    </w:p>
    <w:p>
      <w:pPr>
        <w:spacing w:line="0" w:lineRule="atLeast"/>
        <w:rPr>
          <w:rFonts w:eastAsia="方正仿宋_GBK"/>
          <w:sz w:val="28"/>
          <w:szCs w:val="32"/>
        </w:rPr>
      </w:pPr>
    </w:p>
    <w:tbl>
      <w:tblPr>
        <w:tblStyle w:val="8"/>
        <w:tblW w:w="89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9"/>
        <w:gridCol w:w="1379"/>
        <w:gridCol w:w="1191"/>
        <w:gridCol w:w="967"/>
        <w:gridCol w:w="1079"/>
        <w:gridCol w:w="1078"/>
        <w:gridCol w:w="1076"/>
        <w:gridCol w:w="811"/>
        <w:gridCol w:w="7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3" w:type="dxa"/>
            <w:vMerge w:val="restart"/>
            <w:vAlign w:val="center"/>
          </w:tcPr>
          <w:p>
            <w:pPr>
              <w:spacing w:line="0" w:lineRule="atLeast"/>
              <w:jc w:val="center"/>
              <w:rPr>
                <w:rFonts w:hint="default" w:ascii="Times New Roman" w:hAnsi="Times New Roman" w:eastAsia="方正仿宋_GBK" w:cs="Times New Roman"/>
                <w:bCs/>
                <w:szCs w:val="21"/>
              </w:rPr>
            </w:pPr>
            <w:r>
              <w:rPr>
                <w:rFonts w:hint="default" w:ascii="Times New Roman" w:hAnsi="Times New Roman" w:eastAsia="方正仿宋_GBK" w:cs="Times New Roman"/>
                <w:bCs/>
                <w:szCs w:val="21"/>
              </w:rPr>
              <w:t>序号</w:t>
            </w:r>
          </w:p>
        </w:tc>
        <w:tc>
          <w:tcPr>
            <w:tcW w:w="1395" w:type="dxa"/>
            <w:vMerge w:val="restart"/>
            <w:vAlign w:val="center"/>
          </w:tcPr>
          <w:p>
            <w:pPr>
              <w:spacing w:line="0" w:lineRule="atLeast"/>
              <w:jc w:val="center"/>
              <w:rPr>
                <w:rFonts w:hint="default" w:ascii="Times New Roman" w:hAnsi="Times New Roman" w:eastAsia="方正仿宋_GBK" w:cs="Times New Roman"/>
                <w:bCs/>
                <w:szCs w:val="21"/>
              </w:rPr>
            </w:pPr>
            <w:r>
              <w:rPr>
                <w:rFonts w:hint="default" w:ascii="Times New Roman" w:hAnsi="Times New Roman" w:eastAsia="方正仿宋_GBK" w:cs="Times New Roman"/>
              </w:rPr>
              <mc:AlternateContent>
                <mc:Choice Requires="wps">
                  <w:drawing>
                    <wp:anchor distT="0" distB="0" distL="114300" distR="114300" simplePos="0" relativeHeight="251659264" behindDoc="0" locked="0" layoutInCell="1" allowOverlap="1">
                      <wp:simplePos x="0" y="0"/>
                      <wp:positionH relativeFrom="column">
                        <wp:posOffset>-74295</wp:posOffset>
                      </wp:positionH>
                      <wp:positionV relativeFrom="paragraph">
                        <wp:posOffset>1905</wp:posOffset>
                      </wp:positionV>
                      <wp:extent cx="908050" cy="349250"/>
                      <wp:effectExtent l="0" t="0" r="6350" b="12700"/>
                      <wp:wrapNone/>
                      <wp:docPr id="2" name="直接连接符 2"/>
                      <wp:cNvGraphicFramePr/>
                      <a:graphic xmlns:a="http://schemas.openxmlformats.org/drawingml/2006/main">
                        <a:graphicData uri="http://schemas.microsoft.com/office/word/2010/wordprocessingShape">
                          <wps:wsp>
                            <wps:cNvCnPr/>
                            <wps:spPr>
                              <a:xfrm>
                                <a:off x="0" y="0"/>
                                <a:ext cx="908050" cy="349250"/>
                              </a:xfrm>
                              <a:prstGeom prst="line">
                                <a:avLst/>
                              </a:prstGeom>
                              <a:noFill/>
                              <a:ln w="3175" cap="flat" cmpd="sng" algn="ctr">
                                <a:solidFill>
                                  <a:sysClr val="windowText" lastClr="000000"/>
                                </a:solidFill>
                                <a:prstDash val="solid"/>
                                <a:miter lim="800000"/>
                              </a:ln>
                              <a:effectLst/>
                            </wps:spPr>
                            <wps:bodyPr/>
                          </wps:wsp>
                        </a:graphicData>
                      </a:graphic>
                    </wp:anchor>
                  </w:drawing>
                </mc:Choice>
                <mc:Fallback>
                  <w:pict>
                    <v:line id="_x0000_s1026" o:spid="_x0000_s1026" o:spt="20" style="position:absolute;left:0pt;margin-left:-5.85pt;margin-top:0.15pt;height:27.5pt;width:71.5pt;z-index:251659264;mso-width-relative:page;mso-height-relative:page;" filled="f" stroked="t" coordsize="21600,21600" o:gfxdata="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ZlmfrUAAAABwEAAA8AAAAAAAAAAQAgAAAAIgAAAGRycy9kb3ducmV2LnhtbFBLAQIU&#10;ABQAAAAIAIdO4kDtSTw+9wEAANcDAAAOAAAAAAAAAAEAIAAAACMBAABkcnMvZTJvRG9jLnhtbFBL&#10;BQYAAAAABgAGAFkBAACMBQAAAAA=&#10;">
                      <v:fill on="f" focussize="0,0"/>
                      <v:stroke weight="0.25pt" color="#000000" miterlimit="8" joinstyle="miter"/>
                      <v:imagedata o:title=""/>
                      <o:lock v:ext="edit" aspectratio="f"/>
                    </v:line>
                  </w:pict>
                </mc:Fallback>
              </mc:AlternateContent>
            </w:r>
            <w:r>
              <w:rPr>
                <w:rFonts w:hint="default" w:ascii="Times New Roman" w:hAnsi="Times New Roman" w:eastAsia="方正仿宋_GBK" w:cs="Times New Roman"/>
                <w:bCs/>
                <w:szCs w:val="21"/>
              </w:rPr>
              <w:t xml:space="preserve">       等级</w:t>
            </w:r>
          </w:p>
          <w:p>
            <w:pPr>
              <w:spacing w:line="0" w:lineRule="atLeast"/>
              <w:rPr>
                <w:rFonts w:hint="default" w:ascii="Times New Roman" w:hAnsi="Times New Roman" w:eastAsia="方正仿宋_GBK" w:cs="Times New Roman"/>
                <w:bCs/>
                <w:szCs w:val="21"/>
              </w:rPr>
            </w:pPr>
            <w:r>
              <w:rPr>
                <w:rFonts w:hint="default" w:ascii="Times New Roman" w:hAnsi="Times New Roman" w:eastAsia="方正仿宋_GBK" w:cs="Times New Roman"/>
                <w:bCs/>
                <w:szCs w:val="21"/>
              </w:rPr>
              <w:t>分数</w:t>
            </w:r>
          </w:p>
        </w:tc>
        <w:tc>
          <w:tcPr>
            <w:tcW w:w="1198" w:type="dxa"/>
            <w:vAlign w:val="center"/>
          </w:tcPr>
          <w:p>
            <w:pPr>
              <w:spacing w:line="0" w:lineRule="atLeast"/>
              <w:jc w:val="center"/>
              <w:rPr>
                <w:rFonts w:hint="default" w:ascii="Times New Roman" w:hAnsi="Times New Roman" w:eastAsia="方正仿宋_GBK" w:cs="Times New Roman"/>
                <w:bCs/>
                <w:szCs w:val="21"/>
              </w:rPr>
            </w:pPr>
            <w:r>
              <w:rPr>
                <w:rFonts w:hint="default" w:ascii="Times New Roman" w:hAnsi="Times New Roman" w:eastAsia="方正仿宋_GBK" w:cs="Times New Roman"/>
                <w:bCs/>
                <w:szCs w:val="21"/>
              </w:rPr>
              <w:t>Ⅰ</w:t>
            </w:r>
          </w:p>
        </w:tc>
        <w:tc>
          <w:tcPr>
            <w:tcW w:w="972" w:type="dxa"/>
            <w:vAlign w:val="center"/>
          </w:tcPr>
          <w:p>
            <w:pPr>
              <w:spacing w:line="0" w:lineRule="atLeast"/>
              <w:jc w:val="center"/>
              <w:rPr>
                <w:rFonts w:hint="default" w:ascii="Times New Roman" w:hAnsi="Times New Roman" w:eastAsia="方正仿宋_GBK" w:cs="Times New Roman"/>
                <w:bCs/>
                <w:szCs w:val="21"/>
              </w:rPr>
            </w:pPr>
            <w:r>
              <w:rPr>
                <w:rFonts w:hint="default" w:ascii="Times New Roman" w:hAnsi="Times New Roman" w:eastAsia="方正仿宋_GBK" w:cs="Times New Roman"/>
                <w:bCs/>
                <w:szCs w:val="21"/>
              </w:rPr>
              <w:t>Ⅱ</w:t>
            </w:r>
          </w:p>
        </w:tc>
        <w:tc>
          <w:tcPr>
            <w:tcW w:w="1086" w:type="dxa"/>
            <w:vAlign w:val="center"/>
          </w:tcPr>
          <w:p>
            <w:pPr>
              <w:spacing w:line="0" w:lineRule="atLeast"/>
              <w:jc w:val="center"/>
              <w:rPr>
                <w:rFonts w:hint="default" w:ascii="Times New Roman" w:hAnsi="Times New Roman" w:eastAsia="方正仿宋_GBK" w:cs="Times New Roman"/>
                <w:bCs/>
                <w:szCs w:val="21"/>
              </w:rPr>
            </w:pPr>
            <w:r>
              <w:rPr>
                <w:rFonts w:hint="default" w:ascii="Times New Roman" w:hAnsi="Times New Roman" w:eastAsia="方正仿宋_GBK" w:cs="Times New Roman"/>
                <w:bCs/>
                <w:szCs w:val="21"/>
              </w:rPr>
              <w:t>Ⅲ</w:t>
            </w:r>
          </w:p>
        </w:tc>
        <w:tc>
          <w:tcPr>
            <w:tcW w:w="1085" w:type="dxa"/>
            <w:vAlign w:val="center"/>
          </w:tcPr>
          <w:p>
            <w:pPr>
              <w:spacing w:line="0" w:lineRule="atLeast"/>
              <w:jc w:val="center"/>
              <w:rPr>
                <w:rFonts w:hint="default" w:ascii="Times New Roman" w:hAnsi="Times New Roman" w:eastAsia="方正仿宋_GBK" w:cs="Times New Roman"/>
                <w:bCs/>
                <w:szCs w:val="21"/>
              </w:rPr>
            </w:pPr>
            <w:r>
              <w:rPr>
                <w:rFonts w:hint="default" w:ascii="Times New Roman" w:hAnsi="Times New Roman" w:eastAsia="方正仿宋_GBK" w:cs="Times New Roman"/>
                <w:bCs/>
                <w:szCs w:val="21"/>
              </w:rPr>
              <w:t>Ⅳ</w:t>
            </w:r>
          </w:p>
        </w:tc>
        <w:tc>
          <w:tcPr>
            <w:tcW w:w="1086" w:type="dxa"/>
            <w:vAlign w:val="center"/>
          </w:tcPr>
          <w:p>
            <w:pPr>
              <w:spacing w:line="0" w:lineRule="atLeast"/>
              <w:jc w:val="center"/>
              <w:rPr>
                <w:rFonts w:hint="default" w:ascii="Times New Roman" w:hAnsi="Times New Roman" w:eastAsia="方正仿宋_GBK" w:cs="Times New Roman"/>
                <w:bCs/>
                <w:szCs w:val="21"/>
              </w:rPr>
            </w:pPr>
            <w:r>
              <w:rPr>
                <w:rFonts w:hint="default" w:ascii="Times New Roman" w:hAnsi="Times New Roman" w:eastAsia="方正仿宋_GBK" w:cs="Times New Roman"/>
                <w:bCs/>
                <w:szCs w:val="21"/>
              </w:rPr>
              <w:t>Ⅴ</w:t>
            </w:r>
          </w:p>
        </w:tc>
        <w:tc>
          <w:tcPr>
            <w:tcW w:w="749" w:type="dxa"/>
            <w:vMerge w:val="restart"/>
            <w:vAlign w:val="center"/>
          </w:tcPr>
          <w:p>
            <w:pPr>
              <w:spacing w:line="0" w:lineRule="atLeast"/>
              <w:jc w:val="center"/>
              <w:rPr>
                <w:rFonts w:hint="default" w:ascii="Times New Roman" w:hAnsi="Times New Roman" w:eastAsia="方正仿宋_GBK" w:cs="Times New Roman"/>
                <w:bCs/>
                <w:szCs w:val="21"/>
              </w:rPr>
            </w:pPr>
            <w:r>
              <w:rPr>
                <w:rFonts w:hint="default" w:ascii="Times New Roman" w:hAnsi="Times New Roman" w:eastAsia="方正仿宋_GBK" w:cs="Times New Roman"/>
                <w:bCs/>
                <w:szCs w:val="21"/>
              </w:rPr>
              <w:t>权重（%）</w:t>
            </w:r>
          </w:p>
        </w:tc>
        <w:tc>
          <w:tcPr>
            <w:tcW w:w="723" w:type="dxa"/>
            <w:vMerge w:val="restart"/>
            <w:vAlign w:val="center"/>
          </w:tcPr>
          <w:p>
            <w:pPr>
              <w:spacing w:line="0" w:lineRule="atLeast"/>
              <w:jc w:val="center"/>
              <w:rPr>
                <w:rFonts w:hint="default" w:ascii="Times New Roman" w:hAnsi="Times New Roman" w:eastAsia="方正仿宋_GBK" w:cs="Times New Roman"/>
                <w:bCs/>
                <w:szCs w:val="21"/>
              </w:rPr>
            </w:pPr>
            <w:r>
              <w:rPr>
                <w:rFonts w:hint="default" w:ascii="Times New Roman" w:hAnsi="Times New Roman" w:eastAsia="方正仿宋_GBK" w:cs="Times New Roman"/>
                <w:bCs/>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663" w:type="dxa"/>
            <w:vMerge w:val="continue"/>
            <w:vAlign w:val="center"/>
          </w:tcPr>
          <w:p>
            <w:pPr>
              <w:spacing w:line="0" w:lineRule="atLeast"/>
              <w:jc w:val="center"/>
              <w:rPr>
                <w:rFonts w:hint="default" w:ascii="Times New Roman" w:hAnsi="Times New Roman" w:eastAsia="方正仿宋_GBK" w:cs="Times New Roman"/>
                <w:bCs/>
                <w:szCs w:val="21"/>
              </w:rPr>
            </w:pPr>
          </w:p>
        </w:tc>
        <w:tc>
          <w:tcPr>
            <w:tcW w:w="1395" w:type="dxa"/>
            <w:vMerge w:val="continue"/>
            <w:vAlign w:val="center"/>
          </w:tcPr>
          <w:p>
            <w:pPr>
              <w:spacing w:line="0" w:lineRule="atLeast"/>
              <w:jc w:val="center"/>
              <w:rPr>
                <w:rFonts w:hint="default" w:ascii="Times New Roman" w:hAnsi="Times New Roman" w:eastAsia="方正仿宋_GBK" w:cs="Times New Roman"/>
                <w:bCs/>
                <w:szCs w:val="21"/>
              </w:rPr>
            </w:pPr>
          </w:p>
        </w:tc>
        <w:tc>
          <w:tcPr>
            <w:tcW w:w="1198" w:type="dxa"/>
            <w:vAlign w:val="center"/>
          </w:tcPr>
          <w:p>
            <w:pPr>
              <w:spacing w:line="0" w:lineRule="atLeast"/>
              <w:jc w:val="center"/>
              <w:rPr>
                <w:rFonts w:hint="default" w:ascii="Times New Roman" w:hAnsi="Times New Roman" w:eastAsia="方正仿宋_GBK" w:cs="Times New Roman"/>
                <w:bCs/>
                <w:szCs w:val="21"/>
              </w:rPr>
            </w:pPr>
            <w:r>
              <w:rPr>
                <w:rFonts w:hint="default" w:ascii="Times New Roman" w:hAnsi="Times New Roman" w:eastAsia="方正仿宋_GBK" w:cs="Times New Roman"/>
                <w:bCs/>
                <w:szCs w:val="21"/>
              </w:rPr>
              <w:t>90-100</w:t>
            </w:r>
          </w:p>
        </w:tc>
        <w:tc>
          <w:tcPr>
            <w:tcW w:w="972" w:type="dxa"/>
            <w:vAlign w:val="center"/>
          </w:tcPr>
          <w:p>
            <w:pPr>
              <w:spacing w:line="0" w:lineRule="atLeast"/>
              <w:jc w:val="center"/>
              <w:rPr>
                <w:rFonts w:hint="default" w:ascii="Times New Roman" w:hAnsi="Times New Roman" w:eastAsia="方正仿宋_GBK" w:cs="Times New Roman"/>
                <w:bCs/>
                <w:szCs w:val="21"/>
              </w:rPr>
            </w:pPr>
            <w:r>
              <w:rPr>
                <w:rFonts w:hint="default" w:ascii="Times New Roman" w:hAnsi="Times New Roman" w:eastAsia="方正仿宋_GBK" w:cs="Times New Roman"/>
                <w:bCs/>
                <w:szCs w:val="21"/>
              </w:rPr>
              <w:t>80-89</w:t>
            </w:r>
          </w:p>
        </w:tc>
        <w:tc>
          <w:tcPr>
            <w:tcW w:w="1086" w:type="dxa"/>
            <w:vAlign w:val="center"/>
          </w:tcPr>
          <w:p>
            <w:pPr>
              <w:spacing w:line="0" w:lineRule="atLeast"/>
              <w:jc w:val="center"/>
              <w:rPr>
                <w:rFonts w:hint="default" w:ascii="Times New Roman" w:hAnsi="Times New Roman" w:eastAsia="方正仿宋_GBK" w:cs="Times New Roman"/>
                <w:bCs/>
                <w:szCs w:val="21"/>
              </w:rPr>
            </w:pPr>
            <w:r>
              <w:rPr>
                <w:rFonts w:hint="default" w:ascii="Times New Roman" w:hAnsi="Times New Roman" w:eastAsia="方正仿宋_GBK" w:cs="Times New Roman"/>
                <w:bCs/>
                <w:szCs w:val="21"/>
              </w:rPr>
              <w:t>70-79</w:t>
            </w:r>
          </w:p>
        </w:tc>
        <w:tc>
          <w:tcPr>
            <w:tcW w:w="1085" w:type="dxa"/>
            <w:vAlign w:val="center"/>
          </w:tcPr>
          <w:p>
            <w:pPr>
              <w:spacing w:line="0" w:lineRule="atLeast"/>
              <w:jc w:val="center"/>
              <w:rPr>
                <w:rFonts w:hint="default" w:ascii="Times New Roman" w:hAnsi="Times New Roman" w:eastAsia="方正仿宋_GBK" w:cs="Times New Roman"/>
                <w:bCs/>
                <w:szCs w:val="21"/>
              </w:rPr>
            </w:pPr>
            <w:r>
              <w:rPr>
                <w:rFonts w:hint="default" w:ascii="Times New Roman" w:hAnsi="Times New Roman" w:eastAsia="方正仿宋_GBK" w:cs="Times New Roman"/>
                <w:bCs/>
                <w:szCs w:val="21"/>
              </w:rPr>
              <w:t>60-69</w:t>
            </w:r>
          </w:p>
        </w:tc>
        <w:tc>
          <w:tcPr>
            <w:tcW w:w="1086" w:type="dxa"/>
            <w:vAlign w:val="center"/>
          </w:tcPr>
          <w:p>
            <w:pPr>
              <w:spacing w:line="0" w:lineRule="atLeast"/>
              <w:jc w:val="center"/>
              <w:rPr>
                <w:rFonts w:hint="default" w:ascii="Times New Roman" w:hAnsi="Times New Roman" w:eastAsia="方正仿宋_GBK" w:cs="Times New Roman"/>
                <w:bCs/>
                <w:szCs w:val="21"/>
              </w:rPr>
            </w:pPr>
            <w:r>
              <w:rPr>
                <w:rFonts w:hint="default" w:ascii="Times New Roman" w:hAnsi="Times New Roman" w:eastAsia="方正仿宋_GBK" w:cs="Times New Roman"/>
                <w:bCs/>
                <w:szCs w:val="21"/>
              </w:rPr>
              <w:t>60以下</w:t>
            </w:r>
          </w:p>
        </w:tc>
        <w:tc>
          <w:tcPr>
            <w:tcW w:w="749" w:type="dxa"/>
            <w:vMerge w:val="continue"/>
            <w:vAlign w:val="center"/>
          </w:tcPr>
          <w:p>
            <w:pPr>
              <w:spacing w:line="0" w:lineRule="atLeast"/>
              <w:jc w:val="center"/>
              <w:rPr>
                <w:rFonts w:hint="default" w:ascii="Times New Roman" w:hAnsi="Times New Roman" w:eastAsia="方正仿宋_GBK" w:cs="Times New Roman"/>
                <w:bCs/>
                <w:szCs w:val="21"/>
              </w:rPr>
            </w:pPr>
          </w:p>
        </w:tc>
        <w:tc>
          <w:tcPr>
            <w:tcW w:w="723" w:type="dxa"/>
            <w:vMerge w:val="continue"/>
            <w:vAlign w:val="center"/>
          </w:tcPr>
          <w:p>
            <w:pPr>
              <w:spacing w:line="0" w:lineRule="atLeast"/>
              <w:jc w:val="center"/>
              <w:rPr>
                <w:rFonts w:hint="default" w:ascii="Times New Roman" w:hAnsi="Times New Roman" w:eastAsia="方正仿宋_GBK" w:cs="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3" w:type="dxa"/>
            <w:vAlign w:val="center"/>
          </w:tcPr>
          <w:p>
            <w:pPr>
              <w:spacing w:line="0" w:lineRule="atLeast"/>
              <w:jc w:val="center"/>
              <w:rPr>
                <w:rFonts w:hint="default" w:ascii="Times New Roman" w:hAnsi="Times New Roman" w:eastAsia="方正仿宋_GBK" w:cs="Times New Roman"/>
                <w:bCs/>
                <w:szCs w:val="21"/>
              </w:rPr>
            </w:pPr>
            <w:r>
              <w:rPr>
                <w:rFonts w:hint="default" w:ascii="Times New Roman" w:hAnsi="Times New Roman" w:eastAsia="方正仿宋_GBK" w:cs="Times New Roman"/>
                <w:bCs/>
                <w:szCs w:val="21"/>
              </w:rPr>
              <w:t>1</w:t>
            </w:r>
          </w:p>
        </w:tc>
        <w:tc>
          <w:tcPr>
            <w:tcW w:w="1395" w:type="dxa"/>
            <w:vAlign w:val="center"/>
          </w:tcPr>
          <w:p>
            <w:pPr>
              <w:spacing w:line="0" w:lineRule="atLeast"/>
              <w:jc w:val="center"/>
              <w:rPr>
                <w:rFonts w:hint="default" w:ascii="Times New Roman" w:hAnsi="Times New Roman" w:eastAsia="方正仿宋_GBK" w:cs="Times New Roman"/>
                <w:bCs/>
                <w:sz w:val="18"/>
                <w:szCs w:val="21"/>
              </w:rPr>
            </w:pPr>
            <w:r>
              <w:rPr>
                <w:rFonts w:hint="default" w:ascii="Times New Roman" w:hAnsi="Times New Roman" w:eastAsia="方正仿宋_GBK" w:cs="Times New Roman"/>
                <w:bCs/>
                <w:sz w:val="18"/>
                <w:szCs w:val="21"/>
              </w:rPr>
              <w:t>课题契合度</w:t>
            </w:r>
          </w:p>
        </w:tc>
        <w:tc>
          <w:tcPr>
            <w:tcW w:w="1198" w:type="dxa"/>
            <w:vAlign w:val="center"/>
          </w:tcPr>
          <w:p>
            <w:pPr>
              <w:spacing w:line="0" w:lineRule="atLeast"/>
              <w:jc w:val="center"/>
              <w:rPr>
                <w:rFonts w:hint="default" w:ascii="Times New Roman" w:hAnsi="Times New Roman" w:eastAsia="方正仿宋_GBK" w:cs="Times New Roman"/>
                <w:bCs/>
                <w:sz w:val="18"/>
                <w:szCs w:val="21"/>
              </w:rPr>
            </w:pPr>
            <w:r>
              <w:rPr>
                <w:rFonts w:hint="default" w:ascii="Times New Roman" w:hAnsi="Times New Roman" w:eastAsia="方正仿宋_GBK" w:cs="Times New Roman"/>
                <w:bCs/>
                <w:sz w:val="18"/>
                <w:szCs w:val="21"/>
              </w:rPr>
              <w:t>与项目课题及企业实际紧密结合</w:t>
            </w:r>
          </w:p>
        </w:tc>
        <w:tc>
          <w:tcPr>
            <w:tcW w:w="972" w:type="dxa"/>
            <w:vAlign w:val="center"/>
          </w:tcPr>
          <w:p>
            <w:pPr>
              <w:spacing w:line="0" w:lineRule="atLeast"/>
              <w:jc w:val="center"/>
              <w:rPr>
                <w:rFonts w:hint="default" w:ascii="Times New Roman" w:hAnsi="Times New Roman" w:eastAsia="方正仿宋_GBK" w:cs="Times New Roman"/>
                <w:bCs/>
                <w:sz w:val="18"/>
                <w:szCs w:val="21"/>
              </w:rPr>
            </w:pPr>
            <w:r>
              <w:rPr>
                <w:rFonts w:hint="default" w:ascii="Times New Roman" w:hAnsi="Times New Roman" w:eastAsia="方正仿宋_GBK" w:cs="Times New Roman"/>
                <w:bCs/>
                <w:sz w:val="18"/>
                <w:szCs w:val="21"/>
              </w:rPr>
              <w:t>与项目课题要求基本契合，同时与企业实际紧密结合</w:t>
            </w:r>
          </w:p>
        </w:tc>
        <w:tc>
          <w:tcPr>
            <w:tcW w:w="1086" w:type="dxa"/>
            <w:vAlign w:val="center"/>
          </w:tcPr>
          <w:p>
            <w:pPr>
              <w:spacing w:line="0" w:lineRule="atLeast"/>
              <w:jc w:val="center"/>
              <w:rPr>
                <w:rFonts w:hint="default" w:ascii="Times New Roman" w:hAnsi="Times New Roman" w:eastAsia="方正仿宋_GBK" w:cs="Times New Roman"/>
                <w:bCs/>
                <w:sz w:val="18"/>
                <w:szCs w:val="21"/>
              </w:rPr>
            </w:pPr>
            <w:r>
              <w:rPr>
                <w:rFonts w:hint="default" w:ascii="Times New Roman" w:hAnsi="Times New Roman" w:eastAsia="方正仿宋_GBK" w:cs="Times New Roman"/>
                <w:bCs/>
                <w:sz w:val="18"/>
                <w:szCs w:val="21"/>
              </w:rPr>
              <w:t>与项目课题及企业实际基本契合</w:t>
            </w:r>
          </w:p>
        </w:tc>
        <w:tc>
          <w:tcPr>
            <w:tcW w:w="1085" w:type="dxa"/>
            <w:vAlign w:val="center"/>
          </w:tcPr>
          <w:p>
            <w:pPr>
              <w:spacing w:line="0" w:lineRule="atLeast"/>
              <w:jc w:val="center"/>
              <w:rPr>
                <w:rFonts w:hint="default" w:ascii="Times New Roman" w:hAnsi="Times New Roman" w:eastAsia="方正仿宋_GBK" w:cs="Times New Roman"/>
                <w:bCs/>
                <w:sz w:val="18"/>
                <w:szCs w:val="21"/>
              </w:rPr>
            </w:pPr>
            <w:r>
              <w:rPr>
                <w:rFonts w:hint="default" w:ascii="Times New Roman" w:hAnsi="Times New Roman" w:eastAsia="方正仿宋_GBK" w:cs="Times New Roman"/>
                <w:bCs/>
                <w:sz w:val="18"/>
                <w:szCs w:val="21"/>
              </w:rPr>
              <w:t>与项目课题基本契合</w:t>
            </w:r>
          </w:p>
        </w:tc>
        <w:tc>
          <w:tcPr>
            <w:tcW w:w="1086" w:type="dxa"/>
            <w:vAlign w:val="center"/>
          </w:tcPr>
          <w:p>
            <w:pPr>
              <w:spacing w:line="0" w:lineRule="atLeast"/>
              <w:jc w:val="center"/>
              <w:rPr>
                <w:rFonts w:hint="default" w:ascii="Times New Roman" w:hAnsi="Times New Roman" w:eastAsia="方正仿宋_GBK" w:cs="Times New Roman"/>
                <w:bCs/>
                <w:sz w:val="18"/>
                <w:szCs w:val="21"/>
              </w:rPr>
            </w:pPr>
            <w:r>
              <w:rPr>
                <w:rFonts w:hint="default" w:ascii="Times New Roman" w:hAnsi="Times New Roman" w:eastAsia="方正仿宋_GBK" w:cs="Times New Roman"/>
                <w:bCs/>
                <w:sz w:val="18"/>
                <w:szCs w:val="21"/>
              </w:rPr>
              <w:t>与项目课题无关</w:t>
            </w:r>
          </w:p>
        </w:tc>
        <w:tc>
          <w:tcPr>
            <w:tcW w:w="749" w:type="dxa"/>
            <w:vAlign w:val="center"/>
          </w:tcPr>
          <w:p>
            <w:pPr>
              <w:spacing w:line="0" w:lineRule="atLeast"/>
              <w:jc w:val="center"/>
              <w:rPr>
                <w:rFonts w:hint="default" w:ascii="Times New Roman" w:hAnsi="Times New Roman" w:eastAsia="方正仿宋_GBK" w:cs="Times New Roman"/>
                <w:bCs/>
                <w:sz w:val="18"/>
                <w:szCs w:val="21"/>
              </w:rPr>
            </w:pPr>
            <w:r>
              <w:rPr>
                <w:rFonts w:hint="default" w:ascii="Times New Roman" w:hAnsi="Times New Roman" w:eastAsia="方正仿宋_GBK" w:cs="Times New Roman"/>
                <w:bCs/>
                <w:sz w:val="18"/>
                <w:szCs w:val="21"/>
              </w:rPr>
              <w:t>15</w:t>
            </w:r>
          </w:p>
        </w:tc>
        <w:tc>
          <w:tcPr>
            <w:tcW w:w="723" w:type="dxa"/>
            <w:vAlign w:val="center"/>
          </w:tcPr>
          <w:p>
            <w:pPr>
              <w:spacing w:line="0" w:lineRule="atLeast"/>
              <w:jc w:val="center"/>
              <w:rPr>
                <w:rFonts w:hint="default" w:ascii="Times New Roman" w:hAnsi="Times New Roman" w:eastAsia="方正仿宋_GBK" w:cs="Times New Roman"/>
                <w:bCs/>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3" w:type="dxa"/>
            <w:vAlign w:val="center"/>
          </w:tcPr>
          <w:p>
            <w:pPr>
              <w:spacing w:line="0" w:lineRule="atLeast"/>
              <w:jc w:val="center"/>
              <w:rPr>
                <w:rFonts w:hint="default" w:ascii="Times New Roman" w:hAnsi="Times New Roman" w:eastAsia="方正仿宋_GBK" w:cs="Times New Roman"/>
                <w:bCs/>
                <w:szCs w:val="21"/>
              </w:rPr>
            </w:pPr>
            <w:r>
              <w:rPr>
                <w:rFonts w:hint="default" w:ascii="Times New Roman" w:hAnsi="Times New Roman" w:eastAsia="方正仿宋_GBK" w:cs="Times New Roman"/>
                <w:bCs/>
                <w:szCs w:val="21"/>
              </w:rPr>
              <w:t>2</w:t>
            </w:r>
          </w:p>
        </w:tc>
        <w:tc>
          <w:tcPr>
            <w:tcW w:w="1395" w:type="dxa"/>
            <w:vAlign w:val="center"/>
          </w:tcPr>
          <w:p>
            <w:pPr>
              <w:spacing w:line="0" w:lineRule="atLeast"/>
              <w:jc w:val="center"/>
              <w:rPr>
                <w:rFonts w:hint="default" w:ascii="Times New Roman" w:hAnsi="Times New Roman" w:eastAsia="方正仿宋_GBK" w:cs="Times New Roman"/>
                <w:bCs/>
                <w:sz w:val="18"/>
                <w:szCs w:val="21"/>
              </w:rPr>
            </w:pPr>
            <w:r>
              <w:rPr>
                <w:rFonts w:hint="default" w:ascii="Times New Roman" w:hAnsi="Times New Roman" w:eastAsia="方正仿宋_GBK" w:cs="Times New Roman"/>
                <w:bCs/>
                <w:sz w:val="18"/>
                <w:szCs w:val="21"/>
              </w:rPr>
              <w:t>技术报告完整性</w:t>
            </w:r>
          </w:p>
        </w:tc>
        <w:tc>
          <w:tcPr>
            <w:tcW w:w="1198" w:type="dxa"/>
            <w:vAlign w:val="center"/>
          </w:tcPr>
          <w:p>
            <w:pPr>
              <w:spacing w:line="0" w:lineRule="atLeast"/>
              <w:jc w:val="center"/>
              <w:rPr>
                <w:rFonts w:hint="default" w:ascii="Times New Roman" w:hAnsi="Times New Roman" w:eastAsia="方正仿宋_GBK" w:cs="Times New Roman"/>
                <w:bCs/>
                <w:sz w:val="18"/>
                <w:szCs w:val="21"/>
              </w:rPr>
            </w:pPr>
            <w:r>
              <w:rPr>
                <w:rFonts w:hint="default" w:ascii="Times New Roman" w:hAnsi="Times New Roman" w:eastAsia="方正仿宋_GBK" w:cs="Times New Roman"/>
                <w:bCs/>
                <w:sz w:val="18"/>
                <w:szCs w:val="21"/>
              </w:rPr>
              <w:t>技术报告结构完整、内容详实、包括充分的背景调研、清晰的方案设计、充分的数据/资料支撑等。</w:t>
            </w:r>
          </w:p>
        </w:tc>
        <w:tc>
          <w:tcPr>
            <w:tcW w:w="972" w:type="dxa"/>
            <w:vAlign w:val="center"/>
          </w:tcPr>
          <w:p>
            <w:pPr>
              <w:spacing w:line="0" w:lineRule="atLeast"/>
              <w:jc w:val="center"/>
              <w:rPr>
                <w:rFonts w:hint="default" w:ascii="Times New Roman" w:hAnsi="Times New Roman" w:eastAsia="方正仿宋_GBK" w:cs="Times New Roman"/>
                <w:bCs/>
                <w:sz w:val="18"/>
                <w:szCs w:val="21"/>
              </w:rPr>
            </w:pPr>
            <w:r>
              <w:rPr>
                <w:rFonts w:hint="default" w:ascii="Times New Roman" w:hAnsi="Times New Roman" w:eastAsia="方正仿宋_GBK" w:cs="Times New Roman"/>
                <w:bCs/>
                <w:sz w:val="18"/>
                <w:szCs w:val="21"/>
              </w:rPr>
              <w:t>技术报告内容比较完整，内容详实，逻辑结构严谨、语言通顺。</w:t>
            </w:r>
          </w:p>
        </w:tc>
        <w:tc>
          <w:tcPr>
            <w:tcW w:w="1086" w:type="dxa"/>
            <w:vAlign w:val="center"/>
          </w:tcPr>
          <w:p>
            <w:pPr>
              <w:spacing w:line="0" w:lineRule="atLeast"/>
              <w:jc w:val="center"/>
              <w:rPr>
                <w:rFonts w:hint="default" w:ascii="Times New Roman" w:hAnsi="Times New Roman" w:eastAsia="方正仿宋_GBK" w:cs="Times New Roman"/>
                <w:bCs/>
                <w:sz w:val="18"/>
                <w:szCs w:val="21"/>
              </w:rPr>
            </w:pPr>
            <w:r>
              <w:rPr>
                <w:rFonts w:hint="default" w:ascii="Times New Roman" w:hAnsi="Times New Roman" w:eastAsia="方正仿宋_GBK" w:cs="Times New Roman"/>
                <w:bCs/>
                <w:sz w:val="18"/>
                <w:szCs w:val="21"/>
              </w:rPr>
              <w:t>技术报告缺少部分内容，但不影响整体的方案呈现。</w:t>
            </w:r>
          </w:p>
        </w:tc>
        <w:tc>
          <w:tcPr>
            <w:tcW w:w="1085" w:type="dxa"/>
            <w:vAlign w:val="center"/>
          </w:tcPr>
          <w:p>
            <w:pPr>
              <w:spacing w:line="0" w:lineRule="atLeast"/>
              <w:jc w:val="center"/>
              <w:rPr>
                <w:rFonts w:hint="default" w:ascii="Times New Roman" w:hAnsi="Times New Roman" w:eastAsia="方正仿宋_GBK" w:cs="Times New Roman"/>
                <w:bCs/>
                <w:sz w:val="18"/>
                <w:szCs w:val="21"/>
              </w:rPr>
            </w:pPr>
            <w:r>
              <w:rPr>
                <w:rFonts w:hint="default" w:ascii="Times New Roman" w:hAnsi="Times New Roman" w:eastAsia="方正仿宋_GBK" w:cs="Times New Roman"/>
                <w:bCs/>
                <w:sz w:val="18"/>
                <w:szCs w:val="21"/>
              </w:rPr>
              <w:t>技术报告缺少重要内容，对于技术创新性或结论没有足够支撑。</w:t>
            </w:r>
          </w:p>
        </w:tc>
        <w:tc>
          <w:tcPr>
            <w:tcW w:w="1086" w:type="dxa"/>
            <w:vAlign w:val="center"/>
          </w:tcPr>
          <w:p>
            <w:pPr>
              <w:spacing w:line="0" w:lineRule="atLeast"/>
              <w:jc w:val="center"/>
              <w:rPr>
                <w:rFonts w:hint="default" w:ascii="Times New Roman" w:hAnsi="Times New Roman" w:eastAsia="方正仿宋_GBK" w:cs="Times New Roman"/>
                <w:bCs/>
                <w:sz w:val="18"/>
                <w:szCs w:val="21"/>
              </w:rPr>
            </w:pPr>
            <w:r>
              <w:rPr>
                <w:rFonts w:hint="default" w:ascii="Times New Roman" w:hAnsi="Times New Roman" w:eastAsia="方正仿宋_GBK" w:cs="Times New Roman"/>
                <w:bCs/>
                <w:sz w:val="18"/>
                <w:szCs w:val="21"/>
              </w:rPr>
              <w:t>技术报告数据不真实、前后矛盾或有原则性的逻辑错误。</w:t>
            </w:r>
          </w:p>
        </w:tc>
        <w:tc>
          <w:tcPr>
            <w:tcW w:w="749" w:type="dxa"/>
            <w:vAlign w:val="center"/>
          </w:tcPr>
          <w:p>
            <w:pPr>
              <w:spacing w:line="0" w:lineRule="atLeast"/>
              <w:jc w:val="center"/>
              <w:rPr>
                <w:rFonts w:hint="default" w:ascii="Times New Roman" w:hAnsi="Times New Roman" w:eastAsia="方正仿宋_GBK" w:cs="Times New Roman"/>
                <w:bCs/>
                <w:sz w:val="18"/>
                <w:szCs w:val="21"/>
              </w:rPr>
            </w:pPr>
            <w:r>
              <w:rPr>
                <w:rFonts w:hint="default" w:ascii="Times New Roman" w:hAnsi="Times New Roman" w:eastAsia="方正仿宋_GBK" w:cs="Times New Roman"/>
                <w:bCs/>
                <w:sz w:val="18"/>
                <w:szCs w:val="21"/>
              </w:rPr>
              <w:t>15</w:t>
            </w:r>
          </w:p>
        </w:tc>
        <w:tc>
          <w:tcPr>
            <w:tcW w:w="723" w:type="dxa"/>
            <w:vAlign w:val="center"/>
          </w:tcPr>
          <w:p>
            <w:pPr>
              <w:spacing w:line="0" w:lineRule="atLeast"/>
              <w:jc w:val="center"/>
              <w:rPr>
                <w:rFonts w:hint="default" w:ascii="Times New Roman" w:hAnsi="Times New Roman" w:eastAsia="方正仿宋_GBK" w:cs="Times New Roman"/>
                <w:bCs/>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3" w:type="dxa"/>
            <w:vAlign w:val="center"/>
          </w:tcPr>
          <w:p>
            <w:pPr>
              <w:spacing w:line="0" w:lineRule="atLeast"/>
              <w:jc w:val="center"/>
              <w:rPr>
                <w:rFonts w:hint="default" w:ascii="Times New Roman" w:hAnsi="Times New Roman" w:eastAsia="方正仿宋_GBK" w:cs="Times New Roman"/>
                <w:bCs/>
                <w:szCs w:val="21"/>
              </w:rPr>
            </w:pPr>
            <w:r>
              <w:rPr>
                <w:rFonts w:hint="default" w:ascii="Times New Roman" w:hAnsi="Times New Roman" w:eastAsia="方正仿宋_GBK" w:cs="Times New Roman"/>
                <w:bCs/>
                <w:szCs w:val="21"/>
              </w:rPr>
              <w:t>3</w:t>
            </w:r>
          </w:p>
        </w:tc>
        <w:tc>
          <w:tcPr>
            <w:tcW w:w="1395" w:type="dxa"/>
            <w:vAlign w:val="center"/>
          </w:tcPr>
          <w:p>
            <w:pPr>
              <w:spacing w:line="0" w:lineRule="atLeast"/>
              <w:jc w:val="center"/>
              <w:rPr>
                <w:rFonts w:hint="default" w:ascii="Times New Roman" w:hAnsi="Times New Roman" w:eastAsia="方正仿宋_GBK" w:cs="Times New Roman"/>
                <w:bCs/>
                <w:sz w:val="18"/>
                <w:szCs w:val="21"/>
              </w:rPr>
            </w:pPr>
            <w:r>
              <w:rPr>
                <w:rFonts w:hint="default" w:ascii="Times New Roman" w:hAnsi="Times New Roman" w:eastAsia="方正仿宋_GBK" w:cs="Times New Roman"/>
                <w:bCs/>
                <w:sz w:val="18"/>
                <w:szCs w:val="21"/>
              </w:rPr>
              <w:t>技术成果创新性</w:t>
            </w:r>
          </w:p>
        </w:tc>
        <w:tc>
          <w:tcPr>
            <w:tcW w:w="1198" w:type="dxa"/>
            <w:vAlign w:val="center"/>
          </w:tcPr>
          <w:p>
            <w:pPr>
              <w:spacing w:line="0" w:lineRule="atLeast"/>
              <w:jc w:val="center"/>
              <w:rPr>
                <w:rFonts w:hint="default" w:ascii="Times New Roman" w:hAnsi="Times New Roman" w:eastAsia="方正仿宋_GBK" w:cs="Times New Roman"/>
                <w:bCs/>
                <w:sz w:val="18"/>
                <w:szCs w:val="21"/>
              </w:rPr>
            </w:pPr>
            <w:r>
              <w:rPr>
                <w:rFonts w:hint="default" w:ascii="Times New Roman" w:hAnsi="Times New Roman" w:eastAsia="方正仿宋_GBK" w:cs="Times New Roman"/>
                <w:bCs/>
                <w:sz w:val="18"/>
                <w:szCs w:val="21"/>
              </w:rPr>
              <w:t>理论上有创新或将现有理论创造性地应用，能够解决实际问题。</w:t>
            </w:r>
          </w:p>
        </w:tc>
        <w:tc>
          <w:tcPr>
            <w:tcW w:w="972" w:type="dxa"/>
            <w:vAlign w:val="center"/>
          </w:tcPr>
          <w:p>
            <w:pPr>
              <w:spacing w:line="0" w:lineRule="atLeast"/>
              <w:jc w:val="center"/>
              <w:rPr>
                <w:rFonts w:hint="default" w:ascii="Times New Roman" w:hAnsi="Times New Roman" w:eastAsia="方正仿宋_GBK" w:cs="Times New Roman"/>
                <w:bCs/>
                <w:sz w:val="18"/>
                <w:szCs w:val="21"/>
              </w:rPr>
            </w:pPr>
            <w:r>
              <w:rPr>
                <w:rFonts w:hint="default" w:ascii="Times New Roman" w:hAnsi="Times New Roman" w:eastAsia="方正仿宋_GBK" w:cs="Times New Roman"/>
                <w:bCs/>
                <w:sz w:val="18"/>
                <w:szCs w:val="21"/>
              </w:rPr>
              <w:t>某些方面有创新或对前人工作、已有技术做出明显改进</w:t>
            </w:r>
          </w:p>
        </w:tc>
        <w:tc>
          <w:tcPr>
            <w:tcW w:w="1086" w:type="dxa"/>
            <w:vAlign w:val="center"/>
          </w:tcPr>
          <w:p>
            <w:pPr>
              <w:spacing w:line="0" w:lineRule="atLeast"/>
              <w:jc w:val="center"/>
              <w:rPr>
                <w:rFonts w:hint="default" w:ascii="Times New Roman" w:hAnsi="Times New Roman" w:eastAsia="方正仿宋_GBK" w:cs="Times New Roman"/>
                <w:bCs/>
                <w:sz w:val="18"/>
                <w:szCs w:val="21"/>
              </w:rPr>
            </w:pPr>
            <w:r>
              <w:rPr>
                <w:rFonts w:hint="default" w:ascii="Times New Roman" w:hAnsi="Times New Roman" w:eastAsia="方正仿宋_GBK" w:cs="Times New Roman"/>
                <w:bCs/>
                <w:sz w:val="18"/>
                <w:szCs w:val="21"/>
              </w:rPr>
              <w:t>思想新颖，有独立见解，但不具有创新性或应用方案不成熟</w:t>
            </w:r>
          </w:p>
        </w:tc>
        <w:tc>
          <w:tcPr>
            <w:tcW w:w="1085" w:type="dxa"/>
            <w:vAlign w:val="center"/>
          </w:tcPr>
          <w:p>
            <w:pPr>
              <w:spacing w:line="0" w:lineRule="atLeast"/>
              <w:jc w:val="center"/>
              <w:rPr>
                <w:rFonts w:hint="default" w:ascii="Times New Roman" w:hAnsi="Times New Roman" w:eastAsia="方正仿宋_GBK" w:cs="Times New Roman"/>
                <w:bCs/>
                <w:sz w:val="18"/>
                <w:szCs w:val="21"/>
              </w:rPr>
            </w:pPr>
            <w:r>
              <w:rPr>
                <w:rFonts w:hint="default" w:ascii="Times New Roman" w:hAnsi="Times New Roman" w:eastAsia="方正仿宋_GBK" w:cs="Times New Roman"/>
                <w:bCs/>
                <w:sz w:val="18"/>
                <w:szCs w:val="21"/>
              </w:rPr>
              <w:t>创新性较弱，或用已有成果按常规办法解决具体问题</w:t>
            </w:r>
          </w:p>
        </w:tc>
        <w:tc>
          <w:tcPr>
            <w:tcW w:w="1086" w:type="dxa"/>
            <w:vAlign w:val="center"/>
          </w:tcPr>
          <w:p>
            <w:pPr>
              <w:spacing w:line="0" w:lineRule="atLeast"/>
              <w:jc w:val="center"/>
              <w:rPr>
                <w:rFonts w:hint="default" w:ascii="Times New Roman" w:hAnsi="Times New Roman" w:eastAsia="方正仿宋_GBK" w:cs="Times New Roman"/>
                <w:bCs/>
                <w:sz w:val="18"/>
                <w:szCs w:val="21"/>
              </w:rPr>
            </w:pPr>
            <w:r>
              <w:rPr>
                <w:rFonts w:hint="default" w:ascii="Times New Roman" w:hAnsi="Times New Roman" w:eastAsia="方正仿宋_GBK" w:cs="Times New Roman"/>
                <w:bCs/>
                <w:sz w:val="18"/>
                <w:szCs w:val="21"/>
              </w:rPr>
              <w:t>主要技术</w:t>
            </w:r>
          </w:p>
          <w:p>
            <w:pPr>
              <w:spacing w:line="0" w:lineRule="atLeast"/>
              <w:jc w:val="center"/>
              <w:rPr>
                <w:rFonts w:hint="default" w:ascii="Times New Roman" w:hAnsi="Times New Roman" w:eastAsia="方正仿宋_GBK" w:cs="Times New Roman"/>
                <w:bCs/>
                <w:sz w:val="18"/>
                <w:szCs w:val="21"/>
              </w:rPr>
            </w:pPr>
            <w:r>
              <w:rPr>
                <w:rFonts w:hint="default" w:ascii="Times New Roman" w:hAnsi="Times New Roman" w:eastAsia="方正仿宋_GBK" w:cs="Times New Roman"/>
                <w:bCs/>
                <w:sz w:val="18"/>
                <w:szCs w:val="21"/>
              </w:rPr>
              <w:t>与论据，资料有原则错误</w:t>
            </w:r>
          </w:p>
        </w:tc>
        <w:tc>
          <w:tcPr>
            <w:tcW w:w="749" w:type="dxa"/>
            <w:vAlign w:val="center"/>
          </w:tcPr>
          <w:p>
            <w:pPr>
              <w:spacing w:line="0" w:lineRule="atLeast"/>
              <w:jc w:val="center"/>
              <w:rPr>
                <w:rFonts w:hint="default" w:ascii="Times New Roman" w:hAnsi="Times New Roman" w:eastAsia="方正仿宋_GBK" w:cs="Times New Roman"/>
                <w:bCs/>
                <w:sz w:val="18"/>
                <w:szCs w:val="21"/>
              </w:rPr>
            </w:pPr>
            <w:r>
              <w:rPr>
                <w:rFonts w:hint="default" w:ascii="Times New Roman" w:hAnsi="Times New Roman" w:eastAsia="方正仿宋_GBK" w:cs="Times New Roman"/>
                <w:bCs/>
                <w:sz w:val="18"/>
                <w:szCs w:val="21"/>
              </w:rPr>
              <w:t>25</w:t>
            </w:r>
          </w:p>
        </w:tc>
        <w:tc>
          <w:tcPr>
            <w:tcW w:w="723" w:type="dxa"/>
            <w:vAlign w:val="center"/>
          </w:tcPr>
          <w:p>
            <w:pPr>
              <w:spacing w:line="0" w:lineRule="atLeast"/>
              <w:jc w:val="center"/>
              <w:rPr>
                <w:rFonts w:hint="default" w:ascii="Times New Roman" w:hAnsi="Times New Roman" w:eastAsia="方正仿宋_GBK" w:cs="Times New Roman"/>
                <w:bCs/>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3" w:type="dxa"/>
            <w:vAlign w:val="center"/>
          </w:tcPr>
          <w:p>
            <w:pPr>
              <w:spacing w:line="0" w:lineRule="atLeast"/>
              <w:jc w:val="center"/>
              <w:rPr>
                <w:rFonts w:hint="default" w:ascii="Times New Roman" w:hAnsi="Times New Roman" w:eastAsia="方正仿宋_GBK" w:cs="Times New Roman"/>
                <w:bCs/>
                <w:szCs w:val="21"/>
              </w:rPr>
            </w:pPr>
            <w:r>
              <w:rPr>
                <w:rFonts w:hint="default" w:ascii="Times New Roman" w:hAnsi="Times New Roman" w:eastAsia="方正仿宋_GBK" w:cs="Times New Roman"/>
                <w:bCs/>
                <w:szCs w:val="21"/>
              </w:rPr>
              <w:t>4</w:t>
            </w:r>
          </w:p>
        </w:tc>
        <w:tc>
          <w:tcPr>
            <w:tcW w:w="1395" w:type="dxa"/>
            <w:vAlign w:val="center"/>
          </w:tcPr>
          <w:p>
            <w:pPr>
              <w:spacing w:line="0" w:lineRule="atLeast"/>
              <w:jc w:val="center"/>
              <w:rPr>
                <w:rFonts w:hint="default" w:ascii="Times New Roman" w:hAnsi="Times New Roman" w:eastAsia="方正仿宋_GBK" w:cs="Times New Roman"/>
                <w:bCs/>
                <w:sz w:val="18"/>
                <w:szCs w:val="21"/>
              </w:rPr>
            </w:pPr>
            <w:r>
              <w:rPr>
                <w:rFonts w:hint="default" w:ascii="Times New Roman" w:hAnsi="Times New Roman" w:eastAsia="方正仿宋_GBK" w:cs="Times New Roman"/>
                <w:bCs/>
                <w:sz w:val="18"/>
                <w:szCs w:val="21"/>
              </w:rPr>
              <w:t>对科技进步的作用，对学科理论及技术储备等方面的贡献</w:t>
            </w:r>
          </w:p>
        </w:tc>
        <w:tc>
          <w:tcPr>
            <w:tcW w:w="1198" w:type="dxa"/>
            <w:vAlign w:val="center"/>
          </w:tcPr>
          <w:p>
            <w:pPr>
              <w:spacing w:line="0" w:lineRule="atLeast"/>
              <w:jc w:val="center"/>
              <w:rPr>
                <w:rFonts w:hint="default" w:ascii="Times New Roman" w:hAnsi="Times New Roman" w:eastAsia="方正仿宋_GBK" w:cs="Times New Roman"/>
                <w:bCs/>
                <w:sz w:val="18"/>
                <w:szCs w:val="21"/>
              </w:rPr>
            </w:pPr>
            <w:r>
              <w:rPr>
                <w:rFonts w:hint="default" w:ascii="Times New Roman" w:hAnsi="Times New Roman" w:eastAsia="方正仿宋_GBK" w:cs="Times New Roman"/>
                <w:bCs/>
                <w:sz w:val="18"/>
                <w:szCs w:val="21"/>
              </w:rPr>
              <w:t>很显著</w:t>
            </w:r>
          </w:p>
        </w:tc>
        <w:tc>
          <w:tcPr>
            <w:tcW w:w="972" w:type="dxa"/>
            <w:vAlign w:val="center"/>
          </w:tcPr>
          <w:p>
            <w:pPr>
              <w:spacing w:line="0" w:lineRule="atLeast"/>
              <w:jc w:val="center"/>
              <w:rPr>
                <w:rFonts w:hint="default" w:ascii="Times New Roman" w:hAnsi="Times New Roman" w:eastAsia="方正仿宋_GBK" w:cs="Times New Roman"/>
                <w:bCs/>
                <w:sz w:val="18"/>
                <w:szCs w:val="21"/>
              </w:rPr>
            </w:pPr>
            <w:r>
              <w:rPr>
                <w:rFonts w:hint="default" w:ascii="Times New Roman" w:hAnsi="Times New Roman" w:eastAsia="方正仿宋_GBK" w:cs="Times New Roman"/>
                <w:bCs/>
                <w:sz w:val="18"/>
                <w:szCs w:val="21"/>
              </w:rPr>
              <w:t>显著</w:t>
            </w:r>
          </w:p>
        </w:tc>
        <w:tc>
          <w:tcPr>
            <w:tcW w:w="1086" w:type="dxa"/>
            <w:vAlign w:val="center"/>
          </w:tcPr>
          <w:p>
            <w:pPr>
              <w:spacing w:line="0" w:lineRule="atLeast"/>
              <w:jc w:val="center"/>
              <w:rPr>
                <w:rFonts w:hint="default" w:ascii="Times New Roman" w:hAnsi="Times New Roman" w:eastAsia="方正仿宋_GBK" w:cs="Times New Roman"/>
                <w:bCs/>
                <w:sz w:val="18"/>
                <w:szCs w:val="21"/>
              </w:rPr>
            </w:pPr>
            <w:r>
              <w:rPr>
                <w:rFonts w:hint="default" w:ascii="Times New Roman" w:hAnsi="Times New Roman" w:eastAsia="方正仿宋_GBK" w:cs="Times New Roman"/>
                <w:bCs/>
                <w:sz w:val="18"/>
                <w:szCs w:val="21"/>
              </w:rPr>
              <w:t>较显著</w:t>
            </w:r>
          </w:p>
        </w:tc>
        <w:tc>
          <w:tcPr>
            <w:tcW w:w="1085" w:type="dxa"/>
            <w:vAlign w:val="center"/>
          </w:tcPr>
          <w:p>
            <w:pPr>
              <w:spacing w:line="0" w:lineRule="atLeast"/>
              <w:jc w:val="center"/>
              <w:rPr>
                <w:rFonts w:hint="default" w:ascii="Times New Roman" w:hAnsi="Times New Roman" w:eastAsia="方正仿宋_GBK" w:cs="Times New Roman"/>
                <w:bCs/>
                <w:sz w:val="18"/>
                <w:szCs w:val="21"/>
              </w:rPr>
            </w:pPr>
            <w:r>
              <w:rPr>
                <w:rFonts w:hint="default" w:ascii="Times New Roman" w:hAnsi="Times New Roman" w:eastAsia="方正仿宋_GBK" w:cs="Times New Roman"/>
                <w:bCs/>
                <w:sz w:val="18"/>
                <w:szCs w:val="21"/>
              </w:rPr>
              <w:t>一般</w:t>
            </w:r>
          </w:p>
        </w:tc>
        <w:tc>
          <w:tcPr>
            <w:tcW w:w="1086" w:type="dxa"/>
            <w:vAlign w:val="center"/>
          </w:tcPr>
          <w:p>
            <w:pPr>
              <w:spacing w:line="0" w:lineRule="atLeast"/>
              <w:jc w:val="center"/>
              <w:rPr>
                <w:rFonts w:hint="default" w:ascii="Times New Roman" w:hAnsi="Times New Roman" w:eastAsia="方正仿宋_GBK" w:cs="Times New Roman"/>
                <w:bCs/>
                <w:sz w:val="18"/>
                <w:szCs w:val="21"/>
              </w:rPr>
            </w:pPr>
            <w:r>
              <w:rPr>
                <w:rFonts w:hint="default" w:ascii="Times New Roman" w:hAnsi="Times New Roman" w:eastAsia="方正仿宋_GBK" w:cs="Times New Roman"/>
                <w:bCs/>
                <w:sz w:val="18"/>
                <w:szCs w:val="21"/>
              </w:rPr>
              <w:t>不明显</w:t>
            </w:r>
          </w:p>
        </w:tc>
        <w:tc>
          <w:tcPr>
            <w:tcW w:w="749" w:type="dxa"/>
            <w:vAlign w:val="center"/>
          </w:tcPr>
          <w:p>
            <w:pPr>
              <w:spacing w:line="0" w:lineRule="atLeast"/>
              <w:jc w:val="center"/>
              <w:rPr>
                <w:rFonts w:hint="default" w:ascii="Times New Roman" w:hAnsi="Times New Roman" w:eastAsia="方正仿宋_GBK" w:cs="Times New Roman"/>
                <w:bCs/>
                <w:sz w:val="18"/>
                <w:szCs w:val="21"/>
              </w:rPr>
            </w:pPr>
            <w:r>
              <w:rPr>
                <w:rFonts w:hint="default" w:ascii="Times New Roman" w:hAnsi="Times New Roman" w:eastAsia="方正仿宋_GBK" w:cs="Times New Roman"/>
                <w:bCs/>
                <w:sz w:val="18"/>
                <w:szCs w:val="21"/>
              </w:rPr>
              <w:t>25</w:t>
            </w:r>
          </w:p>
        </w:tc>
        <w:tc>
          <w:tcPr>
            <w:tcW w:w="723" w:type="dxa"/>
            <w:vAlign w:val="center"/>
          </w:tcPr>
          <w:p>
            <w:pPr>
              <w:spacing w:line="0" w:lineRule="atLeast"/>
              <w:jc w:val="center"/>
              <w:rPr>
                <w:rFonts w:hint="default" w:ascii="Times New Roman" w:hAnsi="Times New Roman" w:eastAsia="方正仿宋_GBK" w:cs="Times New Roman"/>
                <w:bCs/>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3" w:type="dxa"/>
            <w:vAlign w:val="center"/>
          </w:tcPr>
          <w:p>
            <w:pPr>
              <w:spacing w:line="0" w:lineRule="atLeast"/>
              <w:jc w:val="center"/>
              <w:rPr>
                <w:rFonts w:hint="default" w:ascii="Times New Roman" w:hAnsi="Times New Roman" w:eastAsia="方正仿宋_GBK" w:cs="Times New Roman"/>
                <w:bCs/>
                <w:szCs w:val="21"/>
              </w:rPr>
            </w:pPr>
            <w:r>
              <w:rPr>
                <w:rFonts w:hint="default" w:ascii="Times New Roman" w:hAnsi="Times New Roman" w:eastAsia="方正仿宋_GBK" w:cs="Times New Roman"/>
                <w:bCs/>
                <w:szCs w:val="21"/>
              </w:rPr>
              <w:t>5</w:t>
            </w:r>
          </w:p>
        </w:tc>
        <w:tc>
          <w:tcPr>
            <w:tcW w:w="1395" w:type="dxa"/>
            <w:vAlign w:val="center"/>
          </w:tcPr>
          <w:p>
            <w:pPr>
              <w:spacing w:line="0" w:lineRule="atLeast"/>
              <w:jc w:val="center"/>
              <w:rPr>
                <w:rFonts w:hint="default" w:ascii="Times New Roman" w:hAnsi="Times New Roman" w:eastAsia="方正仿宋_GBK" w:cs="Times New Roman"/>
                <w:bCs/>
                <w:sz w:val="18"/>
                <w:szCs w:val="21"/>
              </w:rPr>
            </w:pPr>
            <w:r>
              <w:rPr>
                <w:rFonts w:hint="default" w:ascii="Times New Roman" w:hAnsi="Times New Roman" w:eastAsia="方正仿宋_GBK" w:cs="Times New Roman"/>
                <w:bCs/>
                <w:sz w:val="18"/>
                <w:szCs w:val="21"/>
              </w:rPr>
              <w:t>对企业的实际应用方面的价值，以及经济效益、社会效益</w:t>
            </w:r>
          </w:p>
        </w:tc>
        <w:tc>
          <w:tcPr>
            <w:tcW w:w="1198" w:type="dxa"/>
            <w:vAlign w:val="center"/>
          </w:tcPr>
          <w:p>
            <w:pPr>
              <w:spacing w:line="0" w:lineRule="atLeast"/>
              <w:jc w:val="center"/>
              <w:rPr>
                <w:rFonts w:hint="default" w:ascii="Times New Roman" w:hAnsi="Times New Roman" w:eastAsia="方正仿宋_GBK" w:cs="Times New Roman"/>
                <w:bCs/>
                <w:sz w:val="18"/>
                <w:szCs w:val="21"/>
              </w:rPr>
            </w:pPr>
            <w:r>
              <w:rPr>
                <w:rFonts w:hint="default" w:ascii="Times New Roman" w:hAnsi="Times New Roman" w:eastAsia="方正仿宋_GBK" w:cs="Times New Roman"/>
                <w:bCs/>
                <w:sz w:val="18"/>
                <w:szCs w:val="21"/>
              </w:rPr>
              <w:t>很强</w:t>
            </w:r>
          </w:p>
        </w:tc>
        <w:tc>
          <w:tcPr>
            <w:tcW w:w="972" w:type="dxa"/>
            <w:vAlign w:val="center"/>
          </w:tcPr>
          <w:p>
            <w:pPr>
              <w:spacing w:line="0" w:lineRule="atLeast"/>
              <w:jc w:val="center"/>
              <w:rPr>
                <w:rFonts w:hint="default" w:ascii="Times New Roman" w:hAnsi="Times New Roman" w:eastAsia="方正仿宋_GBK" w:cs="Times New Roman"/>
                <w:bCs/>
                <w:sz w:val="18"/>
                <w:szCs w:val="21"/>
              </w:rPr>
            </w:pPr>
            <w:r>
              <w:rPr>
                <w:rFonts w:hint="default" w:ascii="Times New Roman" w:hAnsi="Times New Roman" w:eastAsia="方正仿宋_GBK" w:cs="Times New Roman"/>
                <w:bCs/>
                <w:sz w:val="18"/>
                <w:szCs w:val="21"/>
              </w:rPr>
              <w:t>强</w:t>
            </w:r>
          </w:p>
        </w:tc>
        <w:tc>
          <w:tcPr>
            <w:tcW w:w="1086" w:type="dxa"/>
            <w:vAlign w:val="center"/>
          </w:tcPr>
          <w:p>
            <w:pPr>
              <w:spacing w:line="0" w:lineRule="atLeast"/>
              <w:jc w:val="center"/>
              <w:rPr>
                <w:rFonts w:hint="default" w:ascii="Times New Roman" w:hAnsi="Times New Roman" w:eastAsia="方正仿宋_GBK" w:cs="Times New Roman"/>
                <w:bCs/>
                <w:sz w:val="18"/>
                <w:szCs w:val="21"/>
              </w:rPr>
            </w:pPr>
            <w:r>
              <w:rPr>
                <w:rFonts w:hint="default" w:ascii="Times New Roman" w:hAnsi="Times New Roman" w:eastAsia="方正仿宋_GBK" w:cs="Times New Roman"/>
                <w:bCs/>
                <w:sz w:val="18"/>
                <w:szCs w:val="21"/>
              </w:rPr>
              <w:t>较强</w:t>
            </w:r>
          </w:p>
        </w:tc>
        <w:tc>
          <w:tcPr>
            <w:tcW w:w="1085" w:type="dxa"/>
            <w:vAlign w:val="center"/>
          </w:tcPr>
          <w:p>
            <w:pPr>
              <w:spacing w:line="0" w:lineRule="atLeast"/>
              <w:jc w:val="center"/>
              <w:rPr>
                <w:rFonts w:hint="default" w:ascii="Times New Roman" w:hAnsi="Times New Roman" w:eastAsia="方正仿宋_GBK" w:cs="Times New Roman"/>
                <w:bCs/>
                <w:sz w:val="18"/>
                <w:szCs w:val="21"/>
              </w:rPr>
            </w:pPr>
            <w:r>
              <w:rPr>
                <w:rFonts w:hint="default" w:ascii="Times New Roman" w:hAnsi="Times New Roman" w:eastAsia="方正仿宋_GBK" w:cs="Times New Roman"/>
                <w:bCs/>
                <w:sz w:val="18"/>
                <w:szCs w:val="21"/>
              </w:rPr>
              <w:t>一般</w:t>
            </w:r>
          </w:p>
        </w:tc>
        <w:tc>
          <w:tcPr>
            <w:tcW w:w="1086" w:type="dxa"/>
            <w:vAlign w:val="center"/>
          </w:tcPr>
          <w:p>
            <w:pPr>
              <w:spacing w:line="0" w:lineRule="atLeast"/>
              <w:jc w:val="center"/>
              <w:rPr>
                <w:rFonts w:hint="default" w:ascii="Times New Roman" w:hAnsi="Times New Roman" w:eastAsia="方正仿宋_GBK" w:cs="Times New Roman"/>
                <w:bCs/>
                <w:sz w:val="18"/>
                <w:szCs w:val="21"/>
              </w:rPr>
            </w:pPr>
            <w:r>
              <w:rPr>
                <w:rFonts w:hint="default" w:ascii="Times New Roman" w:hAnsi="Times New Roman" w:eastAsia="方正仿宋_GBK" w:cs="Times New Roman"/>
                <w:bCs/>
                <w:sz w:val="18"/>
                <w:szCs w:val="21"/>
              </w:rPr>
              <w:t>不可实施</w:t>
            </w:r>
          </w:p>
        </w:tc>
        <w:tc>
          <w:tcPr>
            <w:tcW w:w="749" w:type="dxa"/>
            <w:vAlign w:val="center"/>
          </w:tcPr>
          <w:p>
            <w:pPr>
              <w:spacing w:line="0" w:lineRule="atLeast"/>
              <w:jc w:val="center"/>
              <w:rPr>
                <w:rFonts w:hint="default" w:ascii="Times New Roman" w:hAnsi="Times New Roman" w:eastAsia="方正仿宋_GBK" w:cs="Times New Roman"/>
                <w:bCs/>
                <w:sz w:val="18"/>
                <w:szCs w:val="21"/>
              </w:rPr>
            </w:pPr>
            <w:r>
              <w:rPr>
                <w:rFonts w:hint="default" w:ascii="Times New Roman" w:hAnsi="Times New Roman" w:eastAsia="方正仿宋_GBK" w:cs="Times New Roman"/>
                <w:bCs/>
                <w:sz w:val="18"/>
                <w:szCs w:val="21"/>
              </w:rPr>
              <w:t>20</w:t>
            </w:r>
          </w:p>
        </w:tc>
        <w:tc>
          <w:tcPr>
            <w:tcW w:w="723" w:type="dxa"/>
            <w:vAlign w:val="center"/>
          </w:tcPr>
          <w:p>
            <w:pPr>
              <w:spacing w:line="0" w:lineRule="atLeast"/>
              <w:jc w:val="center"/>
              <w:rPr>
                <w:rFonts w:hint="default" w:ascii="Times New Roman" w:hAnsi="Times New Roman" w:eastAsia="方正仿宋_GBK" w:cs="Times New Roman"/>
                <w:bCs/>
                <w:sz w:val="18"/>
                <w:szCs w:val="21"/>
              </w:rPr>
            </w:pPr>
          </w:p>
        </w:tc>
      </w:tr>
    </w:tbl>
    <w:p>
      <w:pPr>
        <w:spacing w:line="0" w:lineRule="atLeast"/>
        <w:ind w:firstLine="602" w:firstLineChars="200"/>
        <w:rPr>
          <w:rFonts w:ascii="方正楷体简体" w:hAnsi="方正楷体简体" w:eastAsia="方正楷体简体" w:cs="方正楷体简体"/>
          <w:b/>
          <w:bCs/>
          <w:sz w:val="30"/>
          <w:szCs w:val="30"/>
        </w:rPr>
      </w:pPr>
    </w:p>
    <w:p>
      <w:pPr>
        <w:spacing w:line="560" w:lineRule="exact"/>
        <w:rPr>
          <w:rFonts w:eastAsia="方正仿宋_GBK"/>
          <w:sz w:val="28"/>
          <w:szCs w:val="32"/>
        </w:rPr>
      </w:pPr>
    </w:p>
    <w:sectPr>
      <w:footerReference r:id="rId3" w:type="default"/>
      <w:pgSz w:w="11907" w:h="16840"/>
      <w:pgMar w:top="1984" w:right="1587" w:bottom="1984" w:left="1587" w:header="851" w:footer="1134"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简体">
    <w:panose1 w:val="02000000000000000000"/>
    <w:charset w:val="86"/>
    <w:family w:val="script"/>
    <w:pitch w:val="default"/>
    <w:sig w:usb0="A00002BF" w:usb1="184F6CFA" w:usb2="00000012" w:usb3="00000000" w:csb0="00040001" w:csb1="00000000"/>
  </w:font>
  <w:font w:name="方正楷体简体">
    <w:panose1 w:val="02000000000000000000"/>
    <w:charset w:val="86"/>
    <w:family w:val="script"/>
    <w:pitch w:val="default"/>
    <w:sig w:usb0="A00002BF" w:usb1="184F6CFA" w:usb2="00000012" w:usb3="00000000" w:csb0="00040001" w:csb1="00000000"/>
  </w:font>
  <w:font w:name="方正楷体_GBK">
    <w:panose1 w:val="02000000000000000000"/>
    <w:charset w:val="86"/>
    <w:family w:val="script"/>
    <w:pitch w:val="default"/>
    <w:sig w:usb0="A00002BF" w:usb1="38CF7CFA" w:usb2="00082016" w:usb3="00000000" w:csb0="00040001" w:csb1="00000000"/>
  </w:font>
  <w:font w:name="方正大标宋_GBK">
    <w:panose1 w:val="03000509000000000000"/>
    <w:charset w:val="86"/>
    <w:family w:val="script"/>
    <w:pitch w:val="default"/>
    <w:sig w:usb0="00000001" w:usb1="080E0000" w:usb2="00000000" w:usb3="00000000" w:csb0="00040000" w:csb1="00000000"/>
  </w:font>
  <w:font w:name="方正黑体_GBK">
    <w:panose1 w:val="02000000000000000000"/>
    <w:charset w:val="86"/>
    <w:family w:val="script"/>
    <w:pitch w:val="default"/>
    <w:sig w:usb0="A00002BF" w:usb1="38CF7CFA" w:usb2="00082016" w:usb3="00000000" w:csb0="00040001" w:csb1="00000000"/>
  </w:font>
  <w:font w:name="方正仿宋_GBK">
    <w:panose1 w:val="02000000000000000000"/>
    <w:charset w:val="86"/>
    <w:family w:val="script"/>
    <w:pitch w:val="default"/>
    <w:sig w:usb0="A00002BF" w:usb1="38CF7CFA" w:usb2="00082016" w:usb3="00000000" w:csb0="00040001" w:csb1="00000000"/>
  </w:font>
  <w:font w:name="方正仿宋楷体">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rPr>
        <w:rStyle w:val="11"/>
      </w:rPr>
      <w:fldChar w:fldCharType="begin"/>
    </w:r>
    <w:r>
      <w:rPr>
        <w:rStyle w:val="11"/>
      </w:rPr>
      <w:instrText xml:space="preserve">PAGE  </w:instrText>
    </w:r>
    <w:r>
      <w:rPr>
        <w:rStyle w:val="11"/>
      </w:rPr>
      <w:fldChar w:fldCharType="separate"/>
    </w:r>
    <w:r>
      <w:rPr>
        <w:rStyle w:val="11"/>
      </w:rPr>
      <w:t>- 1 -</w:t>
    </w:r>
    <w:r>
      <w:rPr>
        <w:rStyle w:val="11"/>
      </w:rPr>
      <w:fldChar w:fldCharType="end"/>
    </w:r>
  </w:p>
  <w:p>
    <w:pPr>
      <w:pStyle w:val="6"/>
    </w:pPr>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0BB9F7"/>
    <w:multiLevelType w:val="singleLevel"/>
    <w:tmpl w:val="120BB9F7"/>
    <w:lvl w:ilvl="0" w:tentative="0">
      <w:start w:val="3"/>
      <w:numFmt w:val="decimal"/>
      <w:suff w:val="space"/>
      <w:lvlText w:val="%1."/>
      <w:lvlJc w:val="left"/>
    </w:lvl>
  </w:abstractNum>
  <w:abstractNum w:abstractNumId="1">
    <w:nsid w:val="52994999"/>
    <w:multiLevelType w:val="singleLevel"/>
    <w:tmpl w:val="52994999"/>
    <w:lvl w:ilvl="0" w:tentative="0">
      <w:start w:val="1"/>
      <w:numFmt w:val="decimal"/>
      <w:suff w:val="space"/>
      <w:lvlText w:val="%1."/>
      <w:lvlJc w:val="left"/>
      <w:pPr>
        <w:ind w:left="454" w:hanging="454"/>
      </w:pPr>
      <w:rPr>
        <w:rFonts w:hint="default" w:eastAsia="方正仿宋楷体"/>
        <w:sz w:val="32"/>
        <w:szCs w:val="32"/>
      </w:rPr>
    </w:lvl>
  </w:abstractNum>
  <w:num w:numId="1">
    <w:abstractNumId w:val="0"/>
  </w:num>
  <w:num w:numId="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YTY2M2Q0MTc3OGEyNGI0ZDBlMmI4OGRlOTE5NDQifQ=="/>
  </w:docVars>
  <w:rsids>
    <w:rsidRoot w:val="00DC5E1B"/>
    <w:rsid w:val="00006B43"/>
    <w:rsid w:val="0002221A"/>
    <w:rsid w:val="00023C25"/>
    <w:rsid w:val="00026488"/>
    <w:rsid w:val="00036588"/>
    <w:rsid w:val="000457BF"/>
    <w:rsid w:val="00054219"/>
    <w:rsid w:val="00060C0B"/>
    <w:rsid w:val="00064736"/>
    <w:rsid w:val="00067454"/>
    <w:rsid w:val="00081340"/>
    <w:rsid w:val="00081D25"/>
    <w:rsid w:val="00087FB4"/>
    <w:rsid w:val="000A1E4B"/>
    <w:rsid w:val="000A22AA"/>
    <w:rsid w:val="000B04C8"/>
    <w:rsid w:val="000C5B70"/>
    <w:rsid w:val="000C748E"/>
    <w:rsid w:val="000D2296"/>
    <w:rsid w:val="000D4703"/>
    <w:rsid w:val="000D539F"/>
    <w:rsid w:val="000D60C9"/>
    <w:rsid w:val="000E197A"/>
    <w:rsid w:val="000E2A2E"/>
    <w:rsid w:val="000F39F2"/>
    <w:rsid w:val="00114731"/>
    <w:rsid w:val="00117E9D"/>
    <w:rsid w:val="0012461F"/>
    <w:rsid w:val="0013598F"/>
    <w:rsid w:val="00137BEC"/>
    <w:rsid w:val="00146542"/>
    <w:rsid w:val="0015569C"/>
    <w:rsid w:val="00165A41"/>
    <w:rsid w:val="001725EA"/>
    <w:rsid w:val="00175621"/>
    <w:rsid w:val="00180D89"/>
    <w:rsid w:val="001865B9"/>
    <w:rsid w:val="00194CDA"/>
    <w:rsid w:val="001A441D"/>
    <w:rsid w:val="001A7831"/>
    <w:rsid w:val="001B6FD2"/>
    <w:rsid w:val="001D30FD"/>
    <w:rsid w:val="001D3CA4"/>
    <w:rsid w:val="001D66F1"/>
    <w:rsid w:val="001E6C11"/>
    <w:rsid w:val="001F514D"/>
    <w:rsid w:val="00200D28"/>
    <w:rsid w:val="002015E4"/>
    <w:rsid w:val="002047CE"/>
    <w:rsid w:val="002068BD"/>
    <w:rsid w:val="00210CAC"/>
    <w:rsid w:val="00212476"/>
    <w:rsid w:val="00213EFA"/>
    <w:rsid w:val="00215AD8"/>
    <w:rsid w:val="002305C1"/>
    <w:rsid w:val="002346C9"/>
    <w:rsid w:val="00236D28"/>
    <w:rsid w:val="00236E84"/>
    <w:rsid w:val="00251FC8"/>
    <w:rsid w:val="00262221"/>
    <w:rsid w:val="002666BE"/>
    <w:rsid w:val="0027524D"/>
    <w:rsid w:val="00281D6B"/>
    <w:rsid w:val="00283865"/>
    <w:rsid w:val="0028501E"/>
    <w:rsid w:val="00287D91"/>
    <w:rsid w:val="002922B9"/>
    <w:rsid w:val="002941F4"/>
    <w:rsid w:val="00295692"/>
    <w:rsid w:val="0029627B"/>
    <w:rsid w:val="002A09E4"/>
    <w:rsid w:val="002A230D"/>
    <w:rsid w:val="002A3560"/>
    <w:rsid w:val="002A63E5"/>
    <w:rsid w:val="002B7C1B"/>
    <w:rsid w:val="002D263C"/>
    <w:rsid w:val="002D4E4B"/>
    <w:rsid w:val="002F3464"/>
    <w:rsid w:val="002F409A"/>
    <w:rsid w:val="002F4286"/>
    <w:rsid w:val="003040AD"/>
    <w:rsid w:val="00314B7F"/>
    <w:rsid w:val="003266B8"/>
    <w:rsid w:val="00330079"/>
    <w:rsid w:val="00331E61"/>
    <w:rsid w:val="003344FD"/>
    <w:rsid w:val="00350801"/>
    <w:rsid w:val="00354974"/>
    <w:rsid w:val="00357398"/>
    <w:rsid w:val="003705EE"/>
    <w:rsid w:val="00371902"/>
    <w:rsid w:val="00372D5B"/>
    <w:rsid w:val="00373AA3"/>
    <w:rsid w:val="00375A80"/>
    <w:rsid w:val="00390C05"/>
    <w:rsid w:val="003913A6"/>
    <w:rsid w:val="00392827"/>
    <w:rsid w:val="003A63AD"/>
    <w:rsid w:val="003C5F23"/>
    <w:rsid w:val="003C7071"/>
    <w:rsid w:val="003F1DE1"/>
    <w:rsid w:val="00410D67"/>
    <w:rsid w:val="004121DB"/>
    <w:rsid w:val="00414A97"/>
    <w:rsid w:val="0042361A"/>
    <w:rsid w:val="004310B8"/>
    <w:rsid w:val="004345D3"/>
    <w:rsid w:val="00434D22"/>
    <w:rsid w:val="00435394"/>
    <w:rsid w:val="004415B1"/>
    <w:rsid w:val="0044516D"/>
    <w:rsid w:val="0044619A"/>
    <w:rsid w:val="004469B5"/>
    <w:rsid w:val="004504C3"/>
    <w:rsid w:val="00455252"/>
    <w:rsid w:val="004662A7"/>
    <w:rsid w:val="00475194"/>
    <w:rsid w:val="00482BB6"/>
    <w:rsid w:val="00484306"/>
    <w:rsid w:val="00495975"/>
    <w:rsid w:val="00497015"/>
    <w:rsid w:val="004A0CF8"/>
    <w:rsid w:val="004A12A4"/>
    <w:rsid w:val="004B7211"/>
    <w:rsid w:val="004C6447"/>
    <w:rsid w:val="004E0A94"/>
    <w:rsid w:val="004E0EA5"/>
    <w:rsid w:val="004E1AC4"/>
    <w:rsid w:val="004E4D61"/>
    <w:rsid w:val="004F4750"/>
    <w:rsid w:val="004F52C5"/>
    <w:rsid w:val="00507CF9"/>
    <w:rsid w:val="0052265F"/>
    <w:rsid w:val="005227EB"/>
    <w:rsid w:val="00530B27"/>
    <w:rsid w:val="0053539A"/>
    <w:rsid w:val="005443FA"/>
    <w:rsid w:val="00564A23"/>
    <w:rsid w:val="00583A21"/>
    <w:rsid w:val="00587C3D"/>
    <w:rsid w:val="005927E7"/>
    <w:rsid w:val="005B5959"/>
    <w:rsid w:val="005C6A68"/>
    <w:rsid w:val="005D1182"/>
    <w:rsid w:val="005E6D27"/>
    <w:rsid w:val="005F646C"/>
    <w:rsid w:val="005F6786"/>
    <w:rsid w:val="005F77B3"/>
    <w:rsid w:val="00603C1B"/>
    <w:rsid w:val="0060537A"/>
    <w:rsid w:val="00607AC9"/>
    <w:rsid w:val="00611A53"/>
    <w:rsid w:val="00613FC8"/>
    <w:rsid w:val="00617DFC"/>
    <w:rsid w:val="006469E9"/>
    <w:rsid w:val="006732CA"/>
    <w:rsid w:val="0067626B"/>
    <w:rsid w:val="006836C5"/>
    <w:rsid w:val="0068374F"/>
    <w:rsid w:val="006A096E"/>
    <w:rsid w:val="006A295B"/>
    <w:rsid w:val="006A41FF"/>
    <w:rsid w:val="006B482E"/>
    <w:rsid w:val="006B7D65"/>
    <w:rsid w:val="006B7E2B"/>
    <w:rsid w:val="006C7F43"/>
    <w:rsid w:val="006D3EDF"/>
    <w:rsid w:val="006E7210"/>
    <w:rsid w:val="006F05C6"/>
    <w:rsid w:val="006F0E35"/>
    <w:rsid w:val="006F32D5"/>
    <w:rsid w:val="006F7CB2"/>
    <w:rsid w:val="00700BC4"/>
    <w:rsid w:val="007168BF"/>
    <w:rsid w:val="00717154"/>
    <w:rsid w:val="007325FE"/>
    <w:rsid w:val="00733852"/>
    <w:rsid w:val="007345B7"/>
    <w:rsid w:val="007454B3"/>
    <w:rsid w:val="00750D34"/>
    <w:rsid w:val="0075138B"/>
    <w:rsid w:val="00753036"/>
    <w:rsid w:val="00754559"/>
    <w:rsid w:val="0077416E"/>
    <w:rsid w:val="007800DF"/>
    <w:rsid w:val="00787D0A"/>
    <w:rsid w:val="007A1D59"/>
    <w:rsid w:val="007A35C1"/>
    <w:rsid w:val="007C0648"/>
    <w:rsid w:val="007C22A9"/>
    <w:rsid w:val="007C5416"/>
    <w:rsid w:val="007C6174"/>
    <w:rsid w:val="007D5884"/>
    <w:rsid w:val="007D6208"/>
    <w:rsid w:val="007F7BCA"/>
    <w:rsid w:val="00802172"/>
    <w:rsid w:val="00802766"/>
    <w:rsid w:val="00804AB4"/>
    <w:rsid w:val="00806433"/>
    <w:rsid w:val="00810C6B"/>
    <w:rsid w:val="00813E1A"/>
    <w:rsid w:val="0082063B"/>
    <w:rsid w:val="0082228B"/>
    <w:rsid w:val="0082569F"/>
    <w:rsid w:val="00840C54"/>
    <w:rsid w:val="00850E45"/>
    <w:rsid w:val="008518A6"/>
    <w:rsid w:val="00862C01"/>
    <w:rsid w:val="00883FDF"/>
    <w:rsid w:val="0088407C"/>
    <w:rsid w:val="00892273"/>
    <w:rsid w:val="008977C6"/>
    <w:rsid w:val="008A249B"/>
    <w:rsid w:val="008A4D77"/>
    <w:rsid w:val="008B17C0"/>
    <w:rsid w:val="008C7729"/>
    <w:rsid w:val="008D6FD8"/>
    <w:rsid w:val="008E1943"/>
    <w:rsid w:val="008E34E6"/>
    <w:rsid w:val="008E5720"/>
    <w:rsid w:val="008E6770"/>
    <w:rsid w:val="008E67BF"/>
    <w:rsid w:val="00901DEF"/>
    <w:rsid w:val="00904440"/>
    <w:rsid w:val="0091677D"/>
    <w:rsid w:val="00941EF0"/>
    <w:rsid w:val="00942BBC"/>
    <w:rsid w:val="009430BB"/>
    <w:rsid w:val="00947A6D"/>
    <w:rsid w:val="0095304A"/>
    <w:rsid w:val="0095422F"/>
    <w:rsid w:val="009720B1"/>
    <w:rsid w:val="00994376"/>
    <w:rsid w:val="009947AF"/>
    <w:rsid w:val="009A2F6A"/>
    <w:rsid w:val="009C5506"/>
    <w:rsid w:val="009D4F74"/>
    <w:rsid w:val="009D7F2A"/>
    <w:rsid w:val="009E026B"/>
    <w:rsid w:val="00A05E6C"/>
    <w:rsid w:val="00A07A62"/>
    <w:rsid w:val="00A102C3"/>
    <w:rsid w:val="00A27315"/>
    <w:rsid w:val="00A3405F"/>
    <w:rsid w:val="00A34632"/>
    <w:rsid w:val="00A3560B"/>
    <w:rsid w:val="00A44E91"/>
    <w:rsid w:val="00A50ED0"/>
    <w:rsid w:val="00A53EF9"/>
    <w:rsid w:val="00A550A3"/>
    <w:rsid w:val="00A57924"/>
    <w:rsid w:val="00A91704"/>
    <w:rsid w:val="00A91E92"/>
    <w:rsid w:val="00A92D7C"/>
    <w:rsid w:val="00A93BAC"/>
    <w:rsid w:val="00AA6CF0"/>
    <w:rsid w:val="00AB7A03"/>
    <w:rsid w:val="00AC00E9"/>
    <w:rsid w:val="00AC0F03"/>
    <w:rsid w:val="00AD5349"/>
    <w:rsid w:val="00AD6420"/>
    <w:rsid w:val="00AD698B"/>
    <w:rsid w:val="00AE161B"/>
    <w:rsid w:val="00B114E2"/>
    <w:rsid w:val="00B11D46"/>
    <w:rsid w:val="00B17579"/>
    <w:rsid w:val="00B24D7A"/>
    <w:rsid w:val="00B27023"/>
    <w:rsid w:val="00B36DE6"/>
    <w:rsid w:val="00B43D87"/>
    <w:rsid w:val="00B527AC"/>
    <w:rsid w:val="00B57583"/>
    <w:rsid w:val="00B600C1"/>
    <w:rsid w:val="00B60AD0"/>
    <w:rsid w:val="00B6614A"/>
    <w:rsid w:val="00B66A43"/>
    <w:rsid w:val="00B74119"/>
    <w:rsid w:val="00B80D8E"/>
    <w:rsid w:val="00B83E9E"/>
    <w:rsid w:val="00B90135"/>
    <w:rsid w:val="00B95332"/>
    <w:rsid w:val="00B964A0"/>
    <w:rsid w:val="00B96A02"/>
    <w:rsid w:val="00BA025F"/>
    <w:rsid w:val="00BA7019"/>
    <w:rsid w:val="00BB278E"/>
    <w:rsid w:val="00BB2E42"/>
    <w:rsid w:val="00BB3888"/>
    <w:rsid w:val="00BC00A7"/>
    <w:rsid w:val="00BC07CF"/>
    <w:rsid w:val="00BC7B1C"/>
    <w:rsid w:val="00BD11DC"/>
    <w:rsid w:val="00BD3B80"/>
    <w:rsid w:val="00BD6791"/>
    <w:rsid w:val="00BF2EEE"/>
    <w:rsid w:val="00BF4744"/>
    <w:rsid w:val="00BF648C"/>
    <w:rsid w:val="00C04711"/>
    <w:rsid w:val="00C13AEF"/>
    <w:rsid w:val="00C225FD"/>
    <w:rsid w:val="00C26281"/>
    <w:rsid w:val="00C26EAD"/>
    <w:rsid w:val="00C302DB"/>
    <w:rsid w:val="00C32E27"/>
    <w:rsid w:val="00C3326D"/>
    <w:rsid w:val="00C34C1E"/>
    <w:rsid w:val="00C35AA4"/>
    <w:rsid w:val="00C42C38"/>
    <w:rsid w:val="00C5098E"/>
    <w:rsid w:val="00C51D0E"/>
    <w:rsid w:val="00C52B38"/>
    <w:rsid w:val="00C545BB"/>
    <w:rsid w:val="00C64577"/>
    <w:rsid w:val="00C675CD"/>
    <w:rsid w:val="00C82329"/>
    <w:rsid w:val="00C846DF"/>
    <w:rsid w:val="00C92CB1"/>
    <w:rsid w:val="00C95482"/>
    <w:rsid w:val="00C97714"/>
    <w:rsid w:val="00CA1ACC"/>
    <w:rsid w:val="00CA4A6B"/>
    <w:rsid w:val="00CA6000"/>
    <w:rsid w:val="00CB50DD"/>
    <w:rsid w:val="00CB6C9C"/>
    <w:rsid w:val="00CB6F8E"/>
    <w:rsid w:val="00CC195E"/>
    <w:rsid w:val="00CC4050"/>
    <w:rsid w:val="00CC6434"/>
    <w:rsid w:val="00CD052A"/>
    <w:rsid w:val="00CE51A2"/>
    <w:rsid w:val="00CE67FB"/>
    <w:rsid w:val="00CF0613"/>
    <w:rsid w:val="00D01E95"/>
    <w:rsid w:val="00D1670A"/>
    <w:rsid w:val="00D21E80"/>
    <w:rsid w:val="00D30072"/>
    <w:rsid w:val="00D30317"/>
    <w:rsid w:val="00D35FA2"/>
    <w:rsid w:val="00D460D2"/>
    <w:rsid w:val="00D567E9"/>
    <w:rsid w:val="00D61DE8"/>
    <w:rsid w:val="00D70CB9"/>
    <w:rsid w:val="00D80B12"/>
    <w:rsid w:val="00D9170C"/>
    <w:rsid w:val="00D91D9C"/>
    <w:rsid w:val="00DA51D9"/>
    <w:rsid w:val="00DB3E14"/>
    <w:rsid w:val="00DB404E"/>
    <w:rsid w:val="00DB532D"/>
    <w:rsid w:val="00DC0F70"/>
    <w:rsid w:val="00DC5E1B"/>
    <w:rsid w:val="00DF07C8"/>
    <w:rsid w:val="00DF4EB5"/>
    <w:rsid w:val="00E009E3"/>
    <w:rsid w:val="00E0671D"/>
    <w:rsid w:val="00E10632"/>
    <w:rsid w:val="00E14000"/>
    <w:rsid w:val="00E24835"/>
    <w:rsid w:val="00E2654C"/>
    <w:rsid w:val="00E32A82"/>
    <w:rsid w:val="00E41694"/>
    <w:rsid w:val="00E46404"/>
    <w:rsid w:val="00E47CE3"/>
    <w:rsid w:val="00E5188C"/>
    <w:rsid w:val="00E615B0"/>
    <w:rsid w:val="00E6196F"/>
    <w:rsid w:val="00E6238A"/>
    <w:rsid w:val="00E70325"/>
    <w:rsid w:val="00E81A14"/>
    <w:rsid w:val="00E96827"/>
    <w:rsid w:val="00E973A0"/>
    <w:rsid w:val="00EA016D"/>
    <w:rsid w:val="00EA1DE5"/>
    <w:rsid w:val="00EA6458"/>
    <w:rsid w:val="00EA66EE"/>
    <w:rsid w:val="00EB69DF"/>
    <w:rsid w:val="00EC24E9"/>
    <w:rsid w:val="00EC47E5"/>
    <w:rsid w:val="00EC48EB"/>
    <w:rsid w:val="00EC7E04"/>
    <w:rsid w:val="00ED0CAC"/>
    <w:rsid w:val="00ED486A"/>
    <w:rsid w:val="00ED6140"/>
    <w:rsid w:val="00EE29F8"/>
    <w:rsid w:val="00EE4324"/>
    <w:rsid w:val="00EE5981"/>
    <w:rsid w:val="00EE5B5D"/>
    <w:rsid w:val="00F04911"/>
    <w:rsid w:val="00F121A7"/>
    <w:rsid w:val="00F169F3"/>
    <w:rsid w:val="00F16BD3"/>
    <w:rsid w:val="00F34366"/>
    <w:rsid w:val="00F414C7"/>
    <w:rsid w:val="00F45C67"/>
    <w:rsid w:val="00F56C23"/>
    <w:rsid w:val="00F6448B"/>
    <w:rsid w:val="00F7072C"/>
    <w:rsid w:val="00F7288C"/>
    <w:rsid w:val="00F74D1F"/>
    <w:rsid w:val="00F7516E"/>
    <w:rsid w:val="00F85880"/>
    <w:rsid w:val="00F958D5"/>
    <w:rsid w:val="00F9778A"/>
    <w:rsid w:val="00FA2AE4"/>
    <w:rsid w:val="00FA521B"/>
    <w:rsid w:val="00FA5652"/>
    <w:rsid w:val="00FB365D"/>
    <w:rsid w:val="00FE1360"/>
    <w:rsid w:val="00FE1B14"/>
    <w:rsid w:val="00FE3E1A"/>
    <w:rsid w:val="00FE658C"/>
    <w:rsid w:val="00FE6EB1"/>
    <w:rsid w:val="00FF3C0A"/>
    <w:rsid w:val="00FF3DAA"/>
    <w:rsid w:val="070E749D"/>
    <w:rsid w:val="09646CAF"/>
    <w:rsid w:val="0C3D42A1"/>
    <w:rsid w:val="12C0114D"/>
    <w:rsid w:val="14342B74"/>
    <w:rsid w:val="177E3384"/>
    <w:rsid w:val="18751C9D"/>
    <w:rsid w:val="18F65F95"/>
    <w:rsid w:val="23403BE4"/>
    <w:rsid w:val="2B312790"/>
    <w:rsid w:val="31B20893"/>
    <w:rsid w:val="355E056F"/>
    <w:rsid w:val="3DED1A24"/>
    <w:rsid w:val="452C572C"/>
    <w:rsid w:val="46875502"/>
    <w:rsid w:val="56DC0F52"/>
    <w:rsid w:val="56E542AB"/>
    <w:rsid w:val="6735773E"/>
    <w:rsid w:val="679A4C3E"/>
    <w:rsid w:val="699619CE"/>
    <w:rsid w:val="7BD67971"/>
    <w:rsid w:val="7E001301"/>
    <w:rsid w:val="7F1673CA"/>
    <w:rsid w:val="9EF6B175"/>
    <w:rsid w:val="C6979F52"/>
    <w:rsid w:val="DFDB0E9A"/>
    <w:rsid w:val="EEF7A434"/>
    <w:rsid w:val="FF5BB1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autoRedefine/>
    <w:qFormat/>
    <w:uiPriority w:val="9"/>
    <w:pPr>
      <w:widowControl/>
      <w:spacing w:beforeAutospacing="1" w:afterAutospacing="1"/>
      <w:jc w:val="left"/>
      <w:outlineLvl w:val="0"/>
    </w:pPr>
    <w:rPr>
      <w:rFonts w:hint="eastAsia" w:ascii="宋体" w:hAnsi="宋体"/>
      <w:b/>
      <w:bCs/>
      <w:kern w:val="36"/>
      <w:sz w:val="48"/>
      <w:szCs w:val="48"/>
    </w:rPr>
  </w:style>
  <w:style w:type="paragraph" w:styleId="3">
    <w:name w:val="heading 2"/>
    <w:basedOn w:val="1"/>
    <w:next w:val="1"/>
    <w:link w:val="18"/>
    <w:autoRedefine/>
    <w:unhideWhenUsed/>
    <w:qFormat/>
    <w:uiPriority w:val="9"/>
    <w:pPr>
      <w:keepNext/>
      <w:keepLines/>
      <w:widowControl/>
      <w:spacing w:line="560" w:lineRule="exact"/>
      <w:jc w:val="left"/>
      <w:outlineLvl w:val="1"/>
    </w:pPr>
    <w:rPr>
      <w:rFonts w:ascii="方正黑体简体" w:hAnsi="方正黑体简体" w:eastAsia="方正黑体简体"/>
      <w:kern w:val="0"/>
      <w:sz w:val="32"/>
      <w:szCs w:val="22"/>
      <w:lang w:val="en-GB"/>
    </w:rPr>
  </w:style>
  <w:style w:type="paragraph" w:styleId="4">
    <w:name w:val="heading 3"/>
    <w:basedOn w:val="1"/>
    <w:next w:val="1"/>
    <w:link w:val="17"/>
    <w:autoRedefine/>
    <w:unhideWhenUsed/>
    <w:qFormat/>
    <w:uiPriority w:val="9"/>
    <w:pPr>
      <w:keepNext/>
      <w:keepLines/>
      <w:widowControl/>
      <w:tabs>
        <w:tab w:val="left" w:pos="0"/>
      </w:tabs>
      <w:spacing w:line="560" w:lineRule="exact"/>
      <w:jc w:val="left"/>
      <w:outlineLvl w:val="2"/>
    </w:pPr>
    <w:rPr>
      <w:rFonts w:ascii="方正楷体简体" w:hAnsi="方正楷体简体" w:eastAsia="方正楷体简体"/>
      <w:kern w:val="0"/>
      <w:sz w:val="32"/>
      <w:lang w:val="en-GB"/>
    </w:rPr>
  </w:style>
  <w:style w:type="character" w:default="1" w:styleId="10">
    <w:name w:val="Default Paragraph Font"/>
    <w:autoRedefine/>
    <w:semiHidden/>
    <w:unhideWhenUsed/>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5">
    <w:name w:val="Balloon Text"/>
    <w:basedOn w:val="1"/>
    <w:autoRedefine/>
    <w:semiHidden/>
    <w:qFormat/>
    <w:uiPriority w:val="0"/>
    <w:rPr>
      <w:sz w:val="18"/>
      <w:szCs w:val="18"/>
    </w:rPr>
  </w:style>
  <w:style w:type="paragraph" w:styleId="6">
    <w:name w:val="footer"/>
    <w:basedOn w:val="1"/>
    <w:autoRedefine/>
    <w:qFormat/>
    <w:uiPriority w:val="0"/>
    <w:pPr>
      <w:tabs>
        <w:tab w:val="center" w:pos="4153"/>
        <w:tab w:val="right" w:pos="8306"/>
      </w:tabs>
      <w:snapToGrid w:val="0"/>
      <w:jc w:val="left"/>
    </w:pPr>
    <w:rPr>
      <w:sz w:val="18"/>
      <w:szCs w:val="18"/>
    </w:rPr>
  </w:style>
  <w:style w:type="paragraph" w:styleId="7">
    <w:name w:val="header"/>
    <w:basedOn w:val="1"/>
    <w:link w:val="13"/>
    <w:autoRedefine/>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autoRedefine/>
    <w:qFormat/>
    <w:uiPriority w:val="0"/>
  </w:style>
  <w:style w:type="character" w:styleId="12">
    <w:name w:val="Hyperlink"/>
    <w:autoRedefine/>
    <w:qFormat/>
    <w:uiPriority w:val="0"/>
    <w:rPr>
      <w:color w:val="0563C1"/>
      <w:u w:val="single"/>
    </w:rPr>
  </w:style>
  <w:style w:type="character" w:customStyle="1" w:styleId="13">
    <w:name w:val="页眉 字符"/>
    <w:link w:val="7"/>
    <w:autoRedefine/>
    <w:qFormat/>
    <w:uiPriority w:val="0"/>
    <w:rPr>
      <w:kern w:val="2"/>
      <w:sz w:val="18"/>
      <w:szCs w:val="18"/>
    </w:rPr>
  </w:style>
  <w:style w:type="paragraph" w:customStyle="1" w:styleId="14">
    <w:name w:val="Char"/>
    <w:basedOn w:val="1"/>
    <w:autoRedefine/>
    <w:qFormat/>
    <w:uiPriority w:val="0"/>
    <w:rPr>
      <w:szCs w:val="20"/>
    </w:rPr>
  </w:style>
  <w:style w:type="table" w:customStyle="1" w:styleId="15">
    <w:name w:val="Table Normal"/>
    <w:autoRedefine/>
    <w:unhideWhenUsed/>
    <w:qFormat/>
    <w:uiPriority w:val="0"/>
    <w:tblPr>
      <w:tblCellMar>
        <w:top w:w="0" w:type="dxa"/>
        <w:left w:w="0" w:type="dxa"/>
        <w:bottom w:w="0" w:type="dxa"/>
        <w:right w:w="0" w:type="dxa"/>
      </w:tblCellMar>
    </w:tblPr>
  </w:style>
  <w:style w:type="paragraph" w:customStyle="1" w:styleId="16">
    <w:name w:val="Revision"/>
    <w:autoRedefine/>
    <w:unhideWhenUsed/>
    <w:qFormat/>
    <w:uiPriority w:val="99"/>
    <w:rPr>
      <w:rFonts w:ascii="Times New Roman" w:hAnsi="Times New Roman" w:eastAsia="宋体" w:cs="Times New Roman"/>
      <w:kern w:val="2"/>
      <w:sz w:val="21"/>
      <w:szCs w:val="24"/>
      <w:lang w:val="en-US" w:eastAsia="zh-CN" w:bidi="ar-SA"/>
    </w:rPr>
  </w:style>
  <w:style w:type="character" w:customStyle="1" w:styleId="17">
    <w:name w:val="标题 3 字符"/>
    <w:basedOn w:val="10"/>
    <w:link w:val="4"/>
    <w:autoRedefine/>
    <w:qFormat/>
    <w:uiPriority w:val="0"/>
    <w:rPr>
      <w:rFonts w:ascii="方正楷体简体" w:hAnsi="方正楷体简体" w:eastAsia="方正楷体简体"/>
      <w:sz w:val="32"/>
      <w:szCs w:val="24"/>
      <w:lang w:val="en-GB"/>
    </w:rPr>
  </w:style>
  <w:style w:type="character" w:customStyle="1" w:styleId="18">
    <w:name w:val="标题 2 字符"/>
    <w:basedOn w:val="10"/>
    <w:link w:val="3"/>
    <w:autoRedefine/>
    <w:qFormat/>
    <w:uiPriority w:val="9"/>
    <w:rPr>
      <w:rFonts w:ascii="方正黑体简体" w:hAnsi="方正黑体简体" w:eastAsia="方正黑体简体"/>
      <w:sz w:val="32"/>
      <w:szCs w:val="22"/>
      <w:lang w:val="en-GB"/>
    </w:rPr>
  </w:style>
  <w:style w:type="character" w:customStyle="1" w:styleId="19">
    <w:name w:val="标题 1 字符"/>
    <w:basedOn w:val="10"/>
    <w:link w:val="2"/>
    <w:qFormat/>
    <w:uiPriority w:val="9"/>
    <w:rPr>
      <w:rFonts w:ascii="宋体" w:hAnsi="宋体"/>
      <w:b/>
      <w:bCs/>
      <w:kern w:val="36"/>
      <w:sz w:val="48"/>
      <w:szCs w:val="4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10</Pages>
  <Words>3947</Words>
  <Characters>519</Characters>
  <Lines>4</Lines>
  <Paragraphs>8</Paragraphs>
  <TotalTime>0</TotalTime>
  <ScaleCrop>false</ScaleCrop>
  <LinksUpToDate>false</LinksUpToDate>
  <CharactersWithSpaces>4458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2024-03-31T05:49:00Z</dcterms:created>
  <dc:creator>GQH</dc:creator>
  <cp:lastModifiedBy>朱赫</cp:lastModifiedBy>
  <cp:lastPrinted>2020-12-30T15:04:00Z</cp:lastPrinted>
  <dcterms:modified xsi:type="dcterms:W3CDTF">2024-04-17T00:50:51Z</dcterms:modified>
  <dc:title>农村部文件排版格式建议</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2B1D1CDCA92E41CE97BC53CDD4BB4536</vt:lpwstr>
  </property>
</Properties>
</file>