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题目1</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0：</w:t>
      </w:r>
    </w:p>
    <w:p>
      <w:pPr>
        <w:pStyle w:val="2"/>
        <w:spacing w:beforeAutospacing="0" w:afterAutospacing="0" w:line="640" w:lineRule="exact"/>
        <w:jc w:val="center"/>
        <w:rPr>
          <w:rFonts w:hint="default"/>
          <w:b w:val="0"/>
          <w:bCs w:val="0"/>
          <w:sz w:val="44"/>
          <w:szCs w:val="44"/>
        </w:rPr>
      </w:pPr>
      <w:r>
        <w:rPr>
          <w:rFonts w:hint="eastAsia" w:ascii="方正大标宋_GBK" w:eastAsia="方正大标宋_GBK"/>
          <w:b w:val="0"/>
          <w:bCs w:val="0"/>
          <w:sz w:val="44"/>
          <w:szCs w:val="44"/>
          <w:lang w:eastAsia="zh-CN"/>
        </w:rPr>
        <w:t>“</w:t>
      </w:r>
      <w:r>
        <w:rPr>
          <w:rFonts w:ascii="方正大标宋_GBK" w:eastAsia="方正大标宋_GBK"/>
          <w:b w:val="0"/>
          <w:bCs w:val="0"/>
          <w:sz w:val="44"/>
          <w:szCs w:val="44"/>
        </w:rPr>
        <w:t>面向多移动平台识别任务协同的水声通信系统研究</w:t>
      </w:r>
      <w:r>
        <w:rPr>
          <w:rFonts w:hint="eastAsia" w:ascii="方正大标宋_GBK" w:eastAsia="方正大标宋_GBK"/>
          <w:b w:val="0"/>
          <w:bCs w:val="0"/>
          <w:sz w:val="44"/>
          <w:szCs w:val="44"/>
          <w:lang w:eastAsia="zh-CN"/>
        </w:rPr>
        <w:t>”</w:t>
      </w:r>
      <w:r>
        <w:rPr>
          <w:rFonts w:ascii="方正大标宋_GBK" w:eastAsia="方正大标宋_GBK"/>
          <w:b w:val="0"/>
          <w:bCs w:val="0"/>
          <w:sz w:val="44"/>
          <w:szCs w:val="44"/>
        </w:rPr>
        <w:t>比赛方案</w:t>
      </w:r>
    </w:p>
    <w:p>
      <w:pPr>
        <w:spacing w:line="640" w:lineRule="exact"/>
        <w:jc w:val="center"/>
        <w:rPr>
          <w:rFonts w:ascii="方正楷体_GBK" w:eastAsia="方正楷体_GBK"/>
          <w:color w:val="000000" w:themeColor="text1"/>
          <w:sz w:val="32"/>
          <w:szCs w:val="32"/>
          <w:lang w:val="en-US"/>
          <w14:textFill>
            <w14:solidFill>
              <w14:schemeClr w14:val="tx1"/>
            </w14:solidFill>
          </w14:textFill>
        </w:rPr>
      </w:pPr>
      <w:r>
        <w:rPr>
          <w:rFonts w:hint="eastAsia" w:ascii="方正楷体_GBK" w:eastAsia="方正楷体_GBK"/>
          <w:color w:val="000000" w:themeColor="text1"/>
          <w:sz w:val="32"/>
          <w:szCs w:val="32"/>
          <w:lang w:val="en-US"/>
          <w14:textFill>
            <w14:solidFill>
              <w14:schemeClr w14:val="tx1"/>
            </w14:solidFill>
          </w14:textFill>
        </w:rPr>
        <w:t>（中国科学院深海科学与工程研究所）</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spacing w:line="560" w:lineRule="exact"/>
        <w:ind w:left="0" w:firstLine="640" w:firstLineChars="200"/>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中国科学院深海科学与工程研究所</w:t>
      </w:r>
    </w:p>
    <w:p>
      <w:pPr>
        <w:pStyle w:val="3"/>
        <w:pageBreakBefore w:val="0"/>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highlight w:val="yellow"/>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面</w:t>
      </w:r>
      <w:r>
        <w:rPr>
          <w:rFonts w:eastAsia="方正仿宋_GBK"/>
          <w:color w:val="000000" w:themeColor="text1"/>
          <w:sz w:val="32"/>
          <w:szCs w:val="32"/>
          <w:lang w:val="en-US"/>
          <w14:textFill>
            <w14:solidFill>
              <w14:schemeClr w14:val="tx1"/>
            </w14:solidFill>
          </w14:textFill>
        </w:rPr>
        <w:t>向多移动平台识别任务协同的水声通信系统研究</w:t>
      </w:r>
    </w:p>
    <w:p>
      <w:pPr>
        <w:pStyle w:val="3"/>
        <w:pageBreakBefore w:val="0"/>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hint="eastAsia" w:ascii="方正仿宋_GBK"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在现代海洋开发与利用的进程中，我们逐渐迈入了一个无人化、多平台协作化的新时代。特别是基于无人水下航行器</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UUV</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集群的新质水下作战和作业能力的形成，强调了集群协同识别技术在提高作业效率、准确性和安全性方面的重要性。不同于传统的集群协同探测，集群协同识别侧重于通过多平台间的高效协同和通信，实现对海底目标的快速、准确识别，从而优化作战策略和提高决策效率。声波是目前水下唯一有效的远程无线信息传输载体，然而，水声信道是迄今为止难度最大、最复杂的无线信道。与电磁波信道相比，水声信道频带窄100万倍，声波传播速度低20万倍，多普勒和多途造成的干扰尤为严重，</w:t>
      </w:r>
      <w:r>
        <w:rPr>
          <w:rFonts w:hint="eastAsia" w:ascii="方正仿宋_GBK" w:eastAsia="方正仿宋_GBK"/>
          <w:color w:val="000000" w:themeColor="text1"/>
          <w:sz w:val="32"/>
          <w:szCs w:val="32"/>
          <w:lang w:val="en-US"/>
          <w14:textFill>
            <w14:solidFill>
              <w14:schemeClr w14:val="tx1"/>
            </w14:solidFill>
          </w14:textFill>
        </w:rPr>
        <w:t>导致多移动平台移动稳通难、多址互通难。水声通信技术已经成为制约水下装备发展的</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卡脖子</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技术之一，随着国际形势的变化，欧美各国在该技术领域对我国严密封锁，我国只能走独立发展道路。</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针对以上背景，题目要求参赛者针对浅海复杂多径信道环境，构建多个移动平台间的稳健、高速水声通信仿真系统。</w:t>
      </w:r>
    </w:p>
    <w:p>
      <w:pPr>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仿真系统需考虑但不限于：不大于190dB的发射声源级、传播损失、海洋环境噪声等。具体要求如下：</w:t>
      </w:r>
    </w:p>
    <w:p>
      <w:pPr>
        <w:pStyle w:val="21"/>
        <w:pageBreakBefore w:val="0"/>
        <w:widowControl w:val="0"/>
        <w:numPr>
          <w:ilvl w:val="0"/>
          <w:numId w:val="3"/>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项目基本要求平台间的通信距离不小于500m；</w:t>
      </w:r>
    </w:p>
    <w:p>
      <w:pPr>
        <w:pStyle w:val="21"/>
        <w:pageBreakBefore w:val="0"/>
        <w:widowControl w:val="0"/>
        <w:numPr>
          <w:ilvl w:val="0"/>
          <w:numId w:val="3"/>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移动平台数量不小于3个；</w:t>
      </w:r>
    </w:p>
    <w:p>
      <w:pPr>
        <w:pStyle w:val="21"/>
        <w:pageBreakBefore w:val="0"/>
        <w:widowControl w:val="0"/>
        <w:numPr>
          <w:ilvl w:val="0"/>
          <w:numId w:val="3"/>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通信时的平台相对运动速度大于3kn；</w:t>
      </w:r>
    </w:p>
    <w:p>
      <w:pPr>
        <w:pStyle w:val="21"/>
        <w:pageBreakBefore w:val="0"/>
        <w:widowControl w:val="0"/>
        <w:numPr>
          <w:ilvl w:val="0"/>
          <w:numId w:val="3"/>
        </w:numPr>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误码率不高于</w:t>
      </w:r>
      <m:oMath>
        <m:sSup>
          <m:sSupPr>
            <m:ctrlPr>
              <w:rPr>
                <w:rFonts w:hint="default" w:ascii="Cambria Math" w:hAnsi="Cambria Math" w:eastAsia="方正仿宋_GBK" w:cs="Times New Roman"/>
                <w:i/>
                <w:color w:val="000000" w:themeColor="text1"/>
                <w:sz w:val="32"/>
                <w:szCs w:val="32"/>
                <w:lang w:val="en-US"/>
                <w14:textFill>
                  <w14:solidFill>
                    <w14:schemeClr w14:val="tx1"/>
                  </w14:solidFill>
                </w14:textFill>
              </w:rPr>
            </m:ctrlPr>
          </m:sSupPr>
          <m:e>
            <m:r>
              <m:rPr/>
              <w:rPr>
                <w:rFonts w:hint="default" w:ascii="Cambria Math" w:hAnsi="Cambria Math" w:eastAsia="方正仿宋_GBK" w:cs="Times New Roman"/>
                <w:color w:val="000000" w:themeColor="text1"/>
                <w:sz w:val="32"/>
                <w:szCs w:val="32"/>
                <w:lang w:val="en-US"/>
                <w14:textFill>
                  <w14:solidFill>
                    <w14:schemeClr w14:val="tx1"/>
                  </w14:solidFill>
                </w14:textFill>
              </w:rPr>
              <m:t>10</m:t>
            </m:r>
            <m:ctrlPr>
              <w:rPr>
                <w:rFonts w:hint="default" w:ascii="Cambria Math" w:hAnsi="Cambria Math" w:eastAsia="方正仿宋_GBK" w:cs="Times New Roman"/>
                <w:i/>
                <w:color w:val="000000" w:themeColor="text1"/>
                <w:sz w:val="32"/>
                <w:szCs w:val="32"/>
                <w:lang w:val="en-US"/>
                <w14:textFill>
                  <w14:solidFill>
                    <w14:schemeClr w14:val="tx1"/>
                  </w14:solidFill>
                </w14:textFill>
              </w:rPr>
            </m:ctrlPr>
          </m:e>
          <m:sup>
            <m:r>
              <m:rPr/>
              <w:rPr>
                <w:rFonts w:hint="default" w:ascii="Cambria Math" w:hAnsi="Cambria Math" w:eastAsia="微软雅黑" w:cs="Times New Roman"/>
                <w:color w:val="000000" w:themeColor="text1"/>
                <w:sz w:val="32"/>
                <w:szCs w:val="32"/>
                <w:lang w:val="en-US"/>
                <w14:textFill>
                  <w14:solidFill>
                    <w14:schemeClr w14:val="tx1"/>
                  </w14:solidFill>
                </w14:textFill>
              </w:rPr>
              <m:t>−</m:t>
            </m:r>
            <m:r>
              <m:rPr/>
              <w:rPr>
                <w:rFonts w:hint="default" w:ascii="Cambria Math" w:hAnsi="Cambria Math" w:eastAsia="方正仿宋_GBK" w:cs="Times New Roman"/>
                <w:color w:val="000000" w:themeColor="text1"/>
                <w:sz w:val="32"/>
                <w:szCs w:val="32"/>
                <w:lang w:val="en-US"/>
                <w14:textFill>
                  <w14:solidFill>
                    <w14:schemeClr w14:val="tx1"/>
                  </w14:solidFill>
                </w14:textFill>
              </w:rPr>
              <m:t>2</m:t>
            </m:r>
            <m:ctrlPr>
              <w:rPr>
                <w:rFonts w:hint="default" w:ascii="Cambria Math" w:hAnsi="Cambria Math" w:eastAsia="方正仿宋_GBK" w:cs="Times New Roman"/>
                <w:i/>
                <w:color w:val="000000" w:themeColor="text1"/>
                <w:sz w:val="32"/>
                <w:szCs w:val="32"/>
                <w:lang w:val="en-US"/>
                <w14:textFill>
                  <w14:solidFill>
                    <w14:schemeClr w14:val="tx1"/>
                  </w14:solidFill>
                </w14:textFill>
              </w:rPr>
            </m:ctrlPr>
          </m:sup>
        </m:sSup>
      </m:oMath>
    </w:p>
    <w:p>
      <w:pPr>
        <w:pStyle w:val="3"/>
        <w:pageBreakBefore w:val="0"/>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8"/>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hint="default" w:ascii="Times New Roman" w:hAnsi="Times New Roman" w:eastAsia="方正仿宋_GBK" w:cs="Times New Roman"/>
          <w:color w:val="000000" w:themeColor="text1"/>
          <w:spacing w:val="8"/>
          <w:sz w:val="32"/>
          <w:szCs w:val="32"/>
          <w14:textFill>
            <w14:solidFill>
              <w14:schemeClr w14:val="tx1"/>
            </w14:solidFill>
          </w14:textFill>
        </w:rPr>
      </w:pPr>
      <w:r>
        <w:rPr>
          <w:rFonts w:hint="default"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8"/>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hint="default" w:ascii="Times New Roman" w:hAnsi="Times New Roman" w:eastAsia="方正仿宋_GBK" w:cs="Times New Roman"/>
          <w:color w:val="000000" w:themeColor="text1"/>
          <w:spacing w:val="8"/>
          <w:sz w:val="32"/>
          <w:szCs w:val="32"/>
          <w14:textFill>
            <w14:solidFill>
              <w14:schemeClr w14:val="tx1"/>
            </w14:solidFill>
          </w14:textFill>
        </w:rPr>
      </w:pPr>
      <w:r>
        <w:rPr>
          <w:rFonts w:hint="default"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8"/>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hint="default" w:ascii="Times New Roman" w:hAnsi="Times New Roman" w:eastAsia="方正仿宋_GBK" w:cs="Times New Roman"/>
          <w:color w:val="000000" w:themeColor="text1"/>
          <w:spacing w:val="8"/>
          <w:sz w:val="32"/>
          <w:szCs w:val="32"/>
          <w14:textFill>
            <w14:solidFill>
              <w14:schemeClr w14:val="tx1"/>
            </w14:solidFill>
          </w14:textFill>
        </w:rPr>
      </w:pPr>
      <w:r>
        <w:rPr>
          <w:rFonts w:hint="default"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8"/>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hint="default" w:ascii="Times New Roman" w:hAnsi="Times New Roman" w:eastAsia="方正仿宋_GBK" w:cs="Times New Roman"/>
          <w:b/>
          <w:bCs/>
          <w:color w:val="000000" w:themeColor="text1"/>
          <w:spacing w:val="8"/>
          <w:sz w:val="32"/>
          <w:szCs w:val="32"/>
          <w14:textFill>
            <w14:solidFill>
              <w14:schemeClr w14:val="tx1"/>
            </w14:solidFill>
          </w14:textFill>
        </w:rPr>
      </w:pPr>
      <w:r>
        <w:rPr>
          <w:rStyle w:val="13"/>
          <w:rFonts w:hint="default"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8"/>
        <w:pageBreakBefore w:val="0"/>
        <w:shd w:val="clear" w:color="auto" w:fill="FFFFFF"/>
        <w:kinsoku/>
        <w:wordWrap/>
        <w:overflowPunct/>
        <w:topLinePunct w:val="0"/>
        <w:autoSpaceDE/>
        <w:autoSpaceDN/>
        <w:bidi w:val="0"/>
        <w:spacing w:before="0" w:beforeAutospacing="0" w:after="0" w:afterAutospacing="0" w:line="560" w:lineRule="exact"/>
        <w:ind w:left="0" w:firstLine="672" w:firstLineChars="200"/>
        <w:jc w:val="both"/>
        <w:textAlignment w:val="auto"/>
        <w:rPr>
          <w:rFonts w:hint="eastAsia" w:ascii="方正仿宋_GBK" w:hAnsi="Times New Roman" w:eastAsia="方正仿宋_GBK" w:cs="Times New Roman"/>
          <w:b/>
          <w:bCs/>
          <w:color w:val="000000" w:themeColor="text1"/>
          <w:spacing w:val="8"/>
          <w:sz w:val="32"/>
          <w:szCs w:val="32"/>
          <w14:textFill>
            <w14:solidFill>
              <w14:schemeClr w14:val="tx1"/>
            </w14:solidFill>
          </w14:textFill>
        </w:rPr>
      </w:pPr>
      <w:r>
        <w:rPr>
          <w:rStyle w:val="13"/>
          <w:rFonts w:hint="eastAsia" w:ascii="方正仿宋_GBK"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3"/>
          <w:rFonts w:hint="eastAsia" w:ascii="方正仿宋_GBK"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3"/>
          <w:rFonts w:hint="eastAsia" w:ascii="方正仿宋_GBK" w:hAnsi="Times New Roman" w:eastAsia="方正仿宋_GBK" w:cs="Times New Roman"/>
          <w:b w:val="0"/>
          <w:bCs w:val="0"/>
          <w:color w:val="000000" w:themeColor="text1"/>
          <w:spacing w:val="8"/>
          <w:sz w:val="32"/>
          <w:szCs w:val="32"/>
          <w14:textFill>
            <w14:solidFill>
              <w14:schemeClr w14:val="tx1"/>
            </w14:solidFill>
          </w14:textFill>
        </w:rPr>
        <w:t>挑战杯</w:t>
      </w:r>
      <w:r>
        <w:rPr>
          <w:rStyle w:val="13"/>
          <w:rFonts w:hint="eastAsia" w:ascii="方正仿宋_GBK"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3"/>
          <w:rFonts w:hint="eastAsia" w:ascii="方正仿宋_GBK"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参赛者需利用题目附件所提供的参</w:t>
      </w:r>
      <w:r>
        <w:rPr>
          <w:rFonts w:hint="default" w:ascii="Times New Roman" w:hAnsi="Times New Roman" w:eastAsia="方正仿宋_GBK" w:cs="Times New Roman"/>
          <w:color w:val="000000" w:themeColor="text1"/>
          <w:sz w:val="32"/>
          <w:szCs w:val="32"/>
          <w:lang w:val="en-US"/>
          <w14:textFill>
            <w14:solidFill>
              <w14:schemeClr w14:val="tx1"/>
            </w14:solidFill>
          </w14:textFill>
        </w:rPr>
        <w:t>数，利用Bellhop等软件获取仿真信道，并以此信道作为后续系统搭</w:t>
      </w:r>
      <w:r>
        <w:rPr>
          <w:rFonts w:hint="eastAsia" w:ascii="方正仿宋_GBK" w:eastAsia="方正仿宋_GBK"/>
          <w:color w:val="000000" w:themeColor="text1"/>
          <w:sz w:val="32"/>
          <w:szCs w:val="32"/>
          <w:lang w:val="en-US"/>
          <w14:textFill>
            <w14:solidFill>
              <w14:schemeClr w14:val="tx1"/>
            </w14:solidFill>
          </w14:textFill>
        </w:rPr>
        <w:t>建的信道参考。最终的作品提交形式为报名表、报名信息统计表、材料文档和源代码。</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eastAsia" w:ascii="方正楷体_GBK" w:eastAsia="方正楷体_GBK"/>
          <w:color w:val="000000" w:themeColor="text1"/>
          <w:sz w:val="32"/>
          <w:szCs w:val="32"/>
          <w:lang w:val="en-US"/>
          <w14:textFill>
            <w14:solidFill>
              <w14:schemeClr w14:val="tx1"/>
            </w14:solidFill>
          </w14:textFill>
        </w:rPr>
      </w:pPr>
      <w:r>
        <w:rPr>
          <w:rFonts w:hint="default" w:ascii="Times New Roman" w:hAnsi="Times New Roman" w:eastAsia="方正楷体_GBK" w:cs="Times New Roman"/>
          <w:color w:val="000000" w:themeColor="text1"/>
          <w:sz w:val="32"/>
          <w:szCs w:val="32"/>
          <w:lang w:val="en-US"/>
          <w14:textFill>
            <w14:solidFill>
              <w14:schemeClr w14:val="tx1"/>
            </w14:solidFill>
          </w14:textFill>
        </w:rPr>
        <w:t xml:space="preserve">1. </w:t>
      </w:r>
      <w:r>
        <w:rPr>
          <w:rFonts w:hint="eastAsia" w:ascii="方正楷体_GBK" w:eastAsia="方正楷体_GBK"/>
          <w:color w:val="000000" w:themeColor="text1"/>
          <w:sz w:val="32"/>
          <w:szCs w:val="32"/>
          <w:lang w:val="en-US"/>
          <w14:textFill>
            <w14:solidFill>
              <w14:schemeClr w14:val="tx1"/>
            </w14:solidFill>
          </w14:textFill>
        </w:rPr>
        <w:t>材料文档包括但不限于：</w:t>
      </w:r>
    </w:p>
    <w:p>
      <w:pPr>
        <w:pStyle w:val="21"/>
        <w:pageBreakBefore w:val="0"/>
        <w:numPr>
          <w:ilvl w:val="0"/>
          <w:numId w:val="4"/>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 xml:space="preserve"> </w:t>
      </w:r>
      <w:r>
        <w:rPr>
          <w:rFonts w:hint="eastAsia" w:ascii="方正仿宋_GBK" w:eastAsia="方正仿宋_GBK"/>
          <w:color w:val="000000" w:themeColor="text1"/>
          <w:sz w:val="32"/>
          <w:szCs w:val="32"/>
          <w:lang w:val="en-US"/>
          <w14:textFill>
            <w14:solidFill>
              <w14:schemeClr w14:val="tx1"/>
            </w14:solidFill>
          </w14:textFill>
        </w:rPr>
        <w:t>设计说明：</w:t>
      </w:r>
    </w:p>
    <w:p>
      <w:pPr>
        <w:pStyle w:val="21"/>
        <w:pageBreakBefore w:val="0"/>
        <w:numPr>
          <w:ilvl w:val="0"/>
          <w:numId w:val="5"/>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国内外发展调研分析情况；</w:t>
      </w:r>
    </w:p>
    <w:p>
      <w:pPr>
        <w:pStyle w:val="21"/>
        <w:pageBreakBefore w:val="0"/>
        <w:numPr>
          <w:ilvl w:val="0"/>
          <w:numId w:val="5"/>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阐述通信系统设计思路；</w:t>
      </w:r>
    </w:p>
    <w:p>
      <w:pPr>
        <w:pStyle w:val="21"/>
        <w:pageBreakBefore w:val="0"/>
        <w:numPr>
          <w:ilvl w:val="0"/>
          <w:numId w:val="5"/>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系统实现的技术路线；</w:t>
      </w:r>
    </w:p>
    <w:p>
      <w:pPr>
        <w:pStyle w:val="21"/>
        <w:pageBreakBefore w:val="0"/>
        <w:numPr>
          <w:ilvl w:val="0"/>
          <w:numId w:val="5"/>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工程运用的可行性分析。</w:t>
      </w:r>
    </w:p>
    <w:p>
      <w:pPr>
        <w:pStyle w:val="21"/>
        <w:pageBreakBefore w:val="0"/>
        <w:numPr>
          <w:ilvl w:val="0"/>
          <w:numId w:val="4"/>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 xml:space="preserve"> 系统仿真结果报告</w:t>
      </w:r>
    </w:p>
    <w:p>
      <w:pPr>
        <w:pStyle w:val="21"/>
        <w:pageBreakBefore w:val="0"/>
        <w:numPr>
          <w:ilvl w:val="0"/>
          <w:numId w:val="6"/>
        </w:numPr>
        <w:kinsoku/>
        <w:wordWrap/>
        <w:overflowPunct/>
        <w:topLinePunct w:val="0"/>
        <w:autoSpaceDE/>
        <w:autoSpaceDN/>
        <w:bidi w:val="0"/>
        <w:adjustRightInd w:val="0"/>
        <w:snapToGrid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Bellhop信道仿真结果；</w:t>
      </w:r>
    </w:p>
    <w:p>
      <w:pPr>
        <w:pStyle w:val="21"/>
        <w:pageBreakBefore w:val="0"/>
        <w:numPr>
          <w:ilvl w:val="0"/>
          <w:numId w:val="6"/>
        </w:numPr>
        <w:kinsoku/>
        <w:wordWrap/>
        <w:overflowPunct/>
        <w:topLinePunct w:val="0"/>
        <w:autoSpaceDE/>
        <w:autoSpaceDN/>
        <w:bidi w:val="0"/>
        <w:adjustRightInd w:val="0"/>
        <w:snapToGrid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Matlab软件仿真结果；</w:t>
      </w:r>
    </w:p>
    <w:p>
      <w:pPr>
        <w:pStyle w:val="21"/>
        <w:pageBreakBefore w:val="0"/>
        <w:numPr>
          <w:ilvl w:val="0"/>
          <w:numId w:val="6"/>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系统性能分析结果。</w:t>
      </w:r>
    </w:p>
    <w:p>
      <w:pPr>
        <w:pStyle w:val="21"/>
        <w:pageBreakBefore w:val="0"/>
        <w:numPr>
          <w:ilvl w:val="0"/>
          <w:numId w:val="4"/>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 xml:space="preserve"> 使用方法说明：</w:t>
      </w:r>
    </w:p>
    <w:p>
      <w:pPr>
        <w:pStyle w:val="21"/>
        <w:pageBreakBefore w:val="0"/>
        <w:numPr>
          <w:ilvl w:val="0"/>
          <w:numId w:val="7"/>
        </w:numPr>
        <w:kinsoku/>
        <w:wordWrap/>
        <w:overflowPunct/>
        <w:topLinePunct w:val="0"/>
        <w:autoSpaceDE/>
        <w:autoSpaceDN/>
        <w:bidi w:val="0"/>
        <w:adjustRightInd w:val="0"/>
        <w:snapToGrid w:val="0"/>
        <w:spacing w:line="560" w:lineRule="exact"/>
        <w:ind w:left="0" w:firstLine="640" w:firstLineChars="200"/>
        <w:textAlignment w:val="auto"/>
        <w:rPr>
          <w:rFonts w:hint="eastAsia"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代码运行方法。</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eastAsia" w:ascii="方正楷体_GBK" w:eastAsia="方正楷体_GBK"/>
          <w:color w:val="000000" w:themeColor="text1"/>
          <w:sz w:val="32"/>
          <w:szCs w:val="32"/>
          <w:lang w:val="en-US"/>
          <w14:textFill>
            <w14:solidFill>
              <w14:schemeClr w14:val="tx1"/>
            </w14:solidFill>
          </w14:textFill>
        </w:rPr>
      </w:pPr>
      <w:r>
        <w:rPr>
          <w:rFonts w:hint="eastAsia" w:ascii="Times New Roman" w:hAnsi="Times New Roman" w:eastAsia="方正楷体_GBK" w:cs="Times New Roman"/>
          <w:color w:val="000000" w:themeColor="text1"/>
          <w:sz w:val="32"/>
          <w:szCs w:val="32"/>
          <w:lang w:val="en-US"/>
          <w14:textFill>
            <w14:solidFill>
              <w14:schemeClr w14:val="tx1"/>
            </w14:solidFill>
          </w14:textFill>
        </w:rPr>
        <w:t xml:space="preserve">2. </w:t>
      </w:r>
      <w:r>
        <w:rPr>
          <w:rFonts w:hint="eastAsia" w:ascii="方正楷体_GBK" w:eastAsia="方正楷体_GBK"/>
          <w:color w:val="000000" w:themeColor="text1"/>
          <w:sz w:val="32"/>
          <w:szCs w:val="32"/>
          <w:lang w:val="en-US"/>
          <w14:textFill>
            <w14:solidFill>
              <w14:schemeClr w14:val="tx1"/>
            </w14:solidFill>
          </w14:textFill>
        </w:rPr>
        <w:t>源代码：</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提交时要求备注详尽，且保证可正常运行。</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eastAsia" w:ascii="方正楷体_GBK" w:eastAsia="方正楷体_GBK"/>
          <w:color w:val="000000" w:themeColor="text1"/>
          <w:sz w:val="32"/>
          <w:szCs w:val="32"/>
          <w:lang w:val="en-US"/>
          <w14:textFill>
            <w14:solidFill>
              <w14:schemeClr w14:val="tx1"/>
            </w14:solidFill>
          </w14:textFill>
        </w:rPr>
      </w:pPr>
      <w:r>
        <w:rPr>
          <w:rFonts w:hint="eastAsia" w:ascii="Times New Roman" w:hAnsi="Times New Roman" w:eastAsia="方正楷体_GBK" w:cs="Times New Roman"/>
          <w:color w:val="000000" w:themeColor="text1"/>
          <w:sz w:val="32"/>
          <w:szCs w:val="32"/>
          <w:lang w:val="en-US"/>
          <w14:textFill>
            <w14:solidFill>
              <w14:schemeClr w14:val="tx1"/>
            </w14:solidFill>
          </w14:textFill>
        </w:rPr>
        <w:t xml:space="preserve">3. </w:t>
      </w:r>
      <w:r>
        <w:rPr>
          <w:rFonts w:hint="eastAsia" w:ascii="方正楷体_GBK" w:eastAsia="方正楷体_GBK"/>
          <w:color w:val="000000" w:themeColor="text1"/>
          <w:sz w:val="32"/>
          <w:szCs w:val="32"/>
          <w:lang w:val="en-US"/>
          <w14:textFill>
            <w14:solidFill>
              <w14:schemeClr w14:val="tx1"/>
            </w14:solidFill>
          </w14:textFill>
        </w:rPr>
        <w:t>报名表和报名信息统计表：</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各团队须提交《XX学校第十八届</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挑战杯</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竞赛</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揭榜挂帅</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专项赛作品申报书》和《XX学校第十八届</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挑战杯</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竞赛</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揭榜挂帅</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专项赛报名信息统计表》两个WORD表格，应同时提交两个表格的WORD版本和PDF版本，其中PDF版本须在WORD版本按要求填写完整真实信息完毕后打印出纸质版，并在指定位置加盖红章后扫描生成，PDF和WORD版本除盖章外，其余所有信息应保持完全一致。</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表格电子版提交方式：PDF版本（含加盖红章）、WORD版本的电子版与材料文档、源代码整理为一个压缩包，以光盘形式提交。</w:t>
      </w:r>
    </w:p>
    <w:p>
      <w:pPr>
        <w:pageBreakBefore w:val="0"/>
        <w:kinsoku/>
        <w:wordWrap/>
        <w:overflowPunct/>
        <w:topLinePunct w:val="0"/>
        <w:autoSpaceDE/>
        <w:autoSpaceDN/>
        <w:bidi w:val="0"/>
        <w:adjustRightInd w:val="0"/>
        <w:snapToGrid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表格纸质版提交方式：纸质版原件（含加盖红章）1式2份和光盘一同邮寄至：杨老师，19808940754，三亚市吉阳区鹿回头路28号。</w:t>
      </w:r>
    </w:p>
    <w:p>
      <w:pPr>
        <w:pStyle w:val="3"/>
        <w:pageBreakBefore w:val="0"/>
        <w:kinsoku/>
        <w:wordWrap/>
        <w:overflowPunct/>
        <w:topLinePunct w:val="0"/>
        <w:autoSpaceDE/>
        <w:autoSpaceDN/>
        <w:bidi w:val="0"/>
        <w:spacing w:line="560" w:lineRule="exact"/>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作品评选标准</w:t>
      </w:r>
    </w:p>
    <w:p>
      <w:pPr>
        <w:pageBreakBefore w:val="0"/>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初审根据下述评审内容以及提交的Matlab仿真模型，以100分制进行打分，根据各参赛作品得分情况决定进入复审的参赛团队名单。作品总分包括主观分、客观分和附加分，其中主观分60分，客观分40分，附加分按指标实现的优劣程度判定，最高不超过20分。总分超过100分，按100计算。</w:t>
      </w:r>
    </w:p>
    <w:p>
      <w:pPr>
        <w:pStyle w:val="21"/>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楷体_GBK" w:cs="Times New Roman"/>
          <w:color w:val="000000" w:themeColor="text1"/>
          <w:sz w:val="32"/>
          <w:szCs w:val="32"/>
          <w:lang w:val="en-US"/>
          <w14:textFill>
            <w14:solidFill>
              <w14:schemeClr w14:val="tx1"/>
            </w14:solidFill>
          </w14:textFill>
        </w:rPr>
      </w:pPr>
      <w:r>
        <w:rPr>
          <w:rFonts w:hint="eastAsia" w:eastAsia="方正楷体_GBK" w:cs="Times New Roman"/>
          <w:color w:val="000000" w:themeColor="text1"/>
          <w:sz w:val="32"/>
          <w:szCs w:val="32"/>
          <w:lang w:val="en-US" w:eastAsia="zh-CN"/>
          <w14:textFill>
            <w14:solidFill>
              <w14:schemeClr w14:val="tx1"/>
            </w14:solidFill>
          </w14:textFill>
        </w:rPr>
        <w:t xml:space="preserve">1. </w:t>
      </w:r>
      <w:r>
        <w:rPr>
          <w:rFonts w:hint="default" w:ascii="Times New Roman" w:hAnsi="Times New Roman" w:eastAsia="方正楷体_GBK" w:cs="Times New Roman"/>
          <w:color w:val="000000" w:themeColor="text1"/>
          <w:sz w:val="32"/>
          <w:szCs w:val="32"/>
          <w:lang w:val="en-US"/>
          <w14:textFill>
            <w14:solidFill>
              <w14:schemeClr w14:val="tx1"/>
            </w14:solidFill>
          </w14:textFill>
        </w:rPr>
        <w:t>主观分</w:t>
      </w:r>
    </w:p>
    <w:p>
      <w:pPr>
        <w:pageBreakBefore w:val="0"/>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评委主要从作品的国内外发展调研分析情况、研究思路、技术路线、工程性、合理性等五个维度进行综合评价，各维度所占分值情况如下：</w:t>
      </w:r>
    </w:p>
    <w:p>
      <w:pPr>
        <w:pStyle w:val="21"/>
        <w:pageBreakBefore w:val="0"/>
        <w:numPr>
          <w:ilvl w:val="0"/>
          <w:numId w:val="8"/>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国内外发展调研分析情况（分值：10 分）； </w:t>
      </w:r>
    </w:p>
    <w:p>
      <w:pPr>
        <w:pStyle w:val="21"/>
        <w:pageBreakBefore w:val="0"/>
        <w:numPr>
          <w:ilvl w:val="0"/>
          <w:numId w:val="8"/>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研究思路合理性（分值：10 分）；</w:t>
      </w:r>
    </w:p>
    <w:p>
      <w:pPr>
        <w:pStyle w:val="21"/>
        <w:pageBreakBefore w:val="0"/>
        <w:numPr>
          <w:ilvl w:val="0"/>
          <w:numId w:val="8"/>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技术路线可行性（分值：10 分）； </w:t>
      </w:r>
    </w:p>
    <w:p>
      <w:pPr>
        <w:pStyle w:val="21"/>
        <w:pageBreakBefore w:val="0"/>
        <w:numPr>
          <w:ilvl w:val="0"/>
          <w:numId w:val="8"/>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工程可实现性（分值：10 分）； </w:t>
      </w:r>
    </w:p>
    <w:p>
      <w:pPr>
        <w:pStyle w:val="21"/>
        <w:pageBreakBefore w:val="0"/>
        <w:numPr>
          <w:ilvl w:val="0"/>
          <w:numId w:val="8"/>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模型合理性（分值：20 分）。</w:t>
      </w:r>
    </w:p>
    <w:p>
      <w:pPr>
        <w:pStyle w:val="21"/>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楷体_GBK" w:cs="Times New Roman"/>
          <w:color w:val="000000" w:themeColor="text1"/>
          <w:sz w:val="32"/>
          <w:szCs w:val="32"/>
          <w:lang w:val="en-US"/>
          <w14:textFill>
            <w14:solidFill>
              <w14:schemeClr w14:val="tx1"/>
            </w14:solidFill>
          </w14:textFill>
        </w:rPr>
      </w:pPr>
      <w:r>
        <w:rPr>
          <w:rFonts w:hint="eastAsia" w:eastAsia="方正楷体_GBK" w:cs="Times New Roman"/>
          <w:color w:val="000000" w:themeColor="text1"/>
          <w:sz w:val="32"/>
          <w:szCs w:val="32"/>
          <w:lang w:val="en-US" w:eastAsia="zh-CN"/>
          <w14:textFill>
            <w14:solidFill>
              <w14:schemeClr w14:val="tx1"/>
            </w14:solidFill>
          </w14:textFill>
        </w:rPr>
        <w:t xml:space="preserve">2. </w:t>
      </w:r>
      <w:r>
        <w:rPr>
          <w:rFonts w:hint="default" w:ascii="Times New Roman" w:hAnsi="Times New Roman" w:eastAsia="方正楷体_GBK" w:cs="Times New Roman"/>
          <w:color w:val="000000" w:themeColor="text1"/>
          <w:sz w:val="32"/>
          <w:szCs w:val="32"/>
          <w:lang w:val="en-US"/>
          <w14:textFill>
            <w14:solidFill>
              <w14:schemeClr w14:val="tx1"/>
            </w14:solidFill>
          </w14:textFill>
        </w:rPr>
        <w:t>客观分</w:t>
      </w:r>
    </w:p>
    <w:p>
      <w:pPr>
        <w:pageBreakBefore w:val="0"/>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以经典多平台水声通信模型</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多发单收模型为例进行说明，该部分需至少同时满足以下要求，否则该部分记为0分：</w:t>
      </w:r>
    </w:p>
    <w:p>
      <w:pPr>
        <w:pStyle w:val="21"/>
        <w:pageBreakBefore w:val="0"/>
        <w:numPr>
          <w:ilvl w:val="0"/>
          <w:numId w:val="9"/>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发射平台与接收平台间的通信距离不小于500m；</w:t>
      </w:r>
    </w:p>
    <w:p>
      <w:pPr>
        <w:pStyle w:val="21"/>
        <w:pageBreakBefore w:val="0"/>
        <w:numPr>
          <w:ilvl w:val="0"/>
          <w:numId w:val="9"/>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发射平台数量不小于2个；</w:t>
      </w:r>
    </w:p>
    <w:p>
      <w:pPr>
        <w:pStyle w:val="21"/>
        <w:pageBreakBefore w:val="0"/>
        <w:numPr>
          <w:ilvl w:val="0"/>
          <w:numId w:val="9"/>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通信时所有发射平台与接收平台间的相对运动速度均不小于3kn；</w:t>
      </w:r>
    </w:p>
    <w:p>
      <w:pPr>
        <w:pStyle w:val="21"/>
        <w:pageBreakBefore w:val="0"/>
        <w:numPr>
          <w:ilvl w:val="0"/>
          <w:numId w:val="9"/>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所有误码率不高于</w:t>
      </w:r>
      <m:oMath>
        <m:sSup>
          <m:sSupPr>
            <m:ctrlPr>
              <w:rPr>
                <w:rFonts w:hint="default" w:ascii="Cambria Math" w:hAnsi="Cambria Math" w:eastAsia="方正仿宋_GBK" w:cs="Times New Roman"/>
                <w:i/>
                <w:color w:val="000000" w:themeColor="text1"/>
                <w:sz w:val="32"/>
                <w:szCs w:val="32"/>
                <w:lang w:val="en-US"/>
                <w14:textFill>
                  <w14:solidFill>
                    <w14:schemeClr w14:val="tx1"/>
                  </w14:solidFill>
                </w14:textFill>
              </w:rPr>
            </m:ctrlPr>
          </m:sSupPr>
          <m:e>
            <m:r>
              <m:rPr/>
              <w:rPr>
                <w:rFonts w:hint="default" w:ascii="Cambria Math" w:hAnsi="Cambria Math" w:eastAsia="方正仿宋_GBK" w:cs="Times New Roman"/>
                <w:color w:val="000000" w:themeColor="text1"/>
                <w:sz w:val="32"/>
                <w:szCs w:val="32"/>
                <w:lang w:val="en-US"/>
                <w14:textFill>
                  <w14:solidFill>
                    <w14:schemeClr w14:val="tx1"/>
                  </w14:solidFill>
                </w14:textFill>
              </w:rPr>
              <m:t>10</m:t>
            </m:r>
            <m:ctrlPr>
              <w:rPr>
                <w:rFonts w:hint="default" w:ascii="Cambria Math" w:hAnsi="Cambria Math" w:eastAsia="方正仿宋_GBK" w:cs="Times New Roman"/>
                <w:i/>
                <w:color w:val="000000" w:themeColor="text1"/>
                <w:sz w:val="32"/>
                <w:szCs w:val="32"/>
                <w:lang w:val="en-US"/>
                <w14:textFill>
                  <w14:solidFill>
                    <w14:schemeClr w14:val="tx1"/>
                  </w14:solidFill>
                </w14:textFill>
              </w:rPr>
            </m:ctrlPr>
          </m:e>
          <m:sup>
            <m:r>
              <m:rPr/>
              <w:rPr>
                <w:rFonts w:hint="default" w:ascii="Cambria Math" w:hAnsi="Cambria Math" w:eastAsia="微软雅黑" w:cs="Times New Roman"/>
                <w:color w:val="000000" w:themeColor="text1"/>
                <w:sz w:val="32"/>
                <w:szCs w:val="32"/>
                <w:lang w:val="en-US"/>
                <w14:textFill>
                  <w14:solidFill>
                    <w14:schemeClr w14:val="tx1"/>
                  </w14:solidFill>
                </w14:textFill>
              </w:rPr>
              <m:t>−</m:t>
            </m:r>
            <m:r>
              <m:rPr/>
              <w:rPr>
                <w:rFonts w:hint="default" w:ascii="Cambria Math" w:hAnsi="Cambria Math" w:eastAsia="方正仿宋_GBK" w:cs="Times New Roman"/>
                <w:color w:val="000000" w:themeColor="text1"/>
                <w:sz w:val="32"/>
                <w:szCs w:val="32"/>
                <w:lang w:val="en-US"/>
                <w14:textFill>
                  <w14:solidFill>
                    <w14:schemeClr w14:val="tx1"/>
                  </w14:solidFill>
                </w14:textFill>
              </w:rPr>
              <m:t>2</m:t>
            </m:r>
            <m:ctrlPr>
              <w:rPr>
                <w:rFonts w:hint="default" w:ascii="Cambria Math" w:hAnsi="Cambria Math" w:eastAsia="方正仿宋_GBK" w:cs="Times New Roman"/>
                <w:i/>
                <w:color w:val="000000" w:themeColor="text1"/>
                <w:sz w:val="32"/>
                <w:szCs w:val="32"/>
                <w:lang w:val="en-US"/>
                <w14:textFill>
                  <w14:solidFill>
                    <w14:schemeClr w14:val="tx1"/>
                  </w14:solidFill>
                </w14:textFill>
              </w:rPr>
            </m:ctrlPr>
          </m:sup>
        </m:sSup>
      </m:oMath>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p>
    <w:p>
      <w:pPr>
        <w:pageBreakBefore w:val="0"/>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在满足上</w:t>
      </w:r>
      <w:r>
        <w:rPr>
          <w:rFonts w:hint="eastAsia" w:eastAsia="方正仿宋_GBK" w:cs="Times New Roman"/>
          <w:color w:val="000000" w:themeColor="text1"/>
          <w:sz w:val="32"/>
          <w:szCs w:val="32"/>
          <w:lang w:val="en-US" w:eastAsia="zh-CN"/>
          <w14:textFill>
            <w14:solidFill>
              <w14:schemeClr w14:val="tx1"/>
            </w14:solidFill>
          </w14:textFill>
        </w:rPr>
        <w:t>述</w:t>
      </w:r>
      <w:r>
        <w:rPr>
          <w:rFonts w:hint="default" w:ascii="Times New Roman" w:hAnsi="Times New Roman" w:eastAsia="方正仿宋_GBK" w:cs="Times New Roman"/>
          <w:color w:val="000000" w:themeColor="text1"/>
          <w:sz w:val="32"/>
          <w:szCs w:val="32"/>
          <w:lang w:val="en-US"/>
          <w14:textFill>
            <w14:solidFill>
              <w14:schemeClr w14:val="tx1"/>
            </w14:solidFill>
          </w14:textFill>
        </w:rPr>
        <w:t>要求的情况下，客观分由以下几个指标构成：</w:t>
      </w:r>
    </w:p>
    <w:p>
      <w:pPr>
        <w:pStyle w:val="21"/>
        <w:pageBreakBefore w:val="0"/>
        <w:numPr>
          <w:ilvl w:val="0"/>
          <w:numId w:val="10"/>
        </w:numPr>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同时参与通信的发射移动平台数量（分值：10分）</w:t>
      </w:r>
    </w:p>
    <w:tbl>
      <w:tblPr>
        <w:tblStyle w:val="11"/>
        <w:tblW w:w="0" w:type="auto"/>
        <w:tblInd w:w="10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2"/>
        <w:gridCol w:w="3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发射平台数量</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3-4</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5-6</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7-8</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9-10</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2"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&gt;10</w:t>
            </w:r>
          </w:p>
        </w:tc>
        <w:tc>
          <w:tcPr>
            <w:tcW w:w="3848"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10</w:t>
            </w:r>
          </w:p>
        </w:tc>
      </w:tr>
    </w:tbl>
    <w:p>
      <w:pPr>
        <w:spacing w:line="560" w:lineRule="exact"/>
        <w:rPr>
          <w:rFonts w:hint="default" w:ascii="Times New Roman" w:hAnsi="Times New Roman" w:eastAsia="方正仿宋_GBK" w:cs="Times New Roman"/>
          <w:color w:val="000000" w:themeColor="text1"/>
          <w:sz w:val="32"/>
          <w:szCs w:val="32"/>
          <w:lang w:val="en-US"/>
          <w14:textFill>
            <w14:solidFill>
              <w14:schemeClr w14:val="tx1"/>
            </w14:solidFill>
          </w14:textFill>
        </w:rPr>
      </w:pPr>
    </w:p>
    <w:p>
      <w:pPr>
        <w:pStyle w:val="21"/>
        <w:keepNext w:val="0"/>
        <w:keepLines w:val="0"/>
        <w:pageBreakBefore w:val="0"/>
        <w:widowControl/>
        <w:numPr>
          <w:ilvl w:val="0"/>
          <w:numId w:val="10"/>
        </w:numPr>
        <w:kinsoku/>
        <w:wordWrap/>
        <w:overflowPunct/>
        <w:topLinePunct w:val="0"/>
        <w:autoSpaceDE/>
        <w:autoSpaceDN/>
        <w:bidi w:val="0"/>
        <w:adjustRightInd w:val="0"/>
        <w:snapToGrid/>
        <w:spacing w:line="560" w:lineRule="exact"/>
        <w:ind w:left="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收发平台之间最小</w:t>
      </w:r>
      <w:r>
        <w:rPr>
          <w:rFonts w:hint="eastAsia"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通信速率×通信距离</w:t>
      </w:r>
      <w:r>
        <w:rPr>
          <w:rFonts w:hint="eastAsia"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（分值：10分）</w:t>
      </w:r>
    </w:p>
    <w:tbl>
      <w:tblPr>
        <w:tblStyle w:val="11"/>
        <w:tblW w:w="0" w:type="auto"/>
        <w:tblInd w:w="10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5"/>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通信速率×通信距离（bps×km）</w:t>
            </w:r>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&lt;50</m:t>
                </m:r>
              </m:oMath>
            </m:oMathPara>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0" w:firstLineChars="0"/>
              <w:rPr>
                <w:rFonts w:hint="default" w:ascii="Times New Roman" w:hAnsi="Times New Roman" w:eastAsia="方正仿宋_GBK" w:cs="Times New Roman"/>
                <w:i/>
                <w:color w:val="000000" w:themeColor="text1"/>
                <w:sz w:val="32"/>
                <w:szCs w:val="32"/>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[50, 200)</m:t>
                </m:r>
              </m:oMath>
            </m:oMathPara>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[200, 500)</m:t>
                </m:r>
              </m:oMath>
            </m:oMathPara>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[500, 1000)</m:t>
                </m:r>
              </m:oMath>
            </m:oMathPara>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[1000, 5000)</m:t>
                </m:r>
              </m:oMath>
            </m:oMathPara>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5" w:type="dxa"/>
          </w:tcPr>
          <w:p>
            <w:pPr>
              <w:pStyle w:val="21"/>
              <w:spacing w:line="560" w:lineRule="exact"/>
              <w:ind w:firstLineChars="0"/>
              <w:rPr>
                <w:rFonts w:hint="default" w:ascii="Times New Roman" w:hAnsi="Times New Roman" w:eastAsia="方正仿宋_GBK" w:cs="Times New Roman"/>
                <w:color w:val="000000" w:themeColor="text1"/>
                <w:sz w:val="32"/>
                <w:szCs w:val="32"/>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≥5000</m:t>
                </m:r>
              </m:oMath>
            </m:oMathPara>
          </w:p>
        </w:tc>
        <w:tc>
          <w:tcPr>
            <w:tcW w:w="2605"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10</w:t>
            </w:r>
          </w:p>
        </w:tc>
      </w:tr>
    </w:tbl>
    <w:p>
      <w:pPr>
        <w:pStyle w:val="21"/>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注：指标为所有发射接收链路中的最小</w:t>
      </w:r>
      <w:r>
        <w:rPr>
          <w:rFonts w:hint="eastAsia"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通信速率×通信距离</w:t>
      </w:r>
      <w:r>
        <w:rPr>
          <w:rFonts w:hint="eastAsia" w:eastAsia="方正仿宋_GBK" w:cs="Times New Roman"/>
          <w:color w:val="000000" w:themeColor="text1"/>
          <w:sz w:val="32"/>
          <w:szCs w:val="32"/>
          <w:lang w:eastAsia="zh-CN"/>
          <w14:textFill>
            <w14:solidFill>
              <w14:schemeClr w14:val="tx1"/>
            </w14:solidFill>
          </w14:textFill>
        </w:rPr>
        <w:t>”</w:t>
      </w:r>
    </w:p>
    <w:p>
      <w:pPr>
        <w:pStyle w:val="21"/>
        <w:keepNext w:val="0"/>
        <w:keepLines w:val="0"/>
        <w:pageBreakBefore w:val="0"/>
        <w:widowControl/>
        <w:numPr>
          <w:ilvl w:val="0"/>
          <w:numId w:val="10"/>
        </w:numPr>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通信误码率（分值：10分）</w:t>
      </w:r>
    </w:p>
    <w:tbl>
      <w:tblPr>
        <w:tblStyle w:val="11"/>
        <w:tblW w:w="0" w:type="auto"/>
        <w:tblInd w:w="10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7"/>
        <w:gridCol w:w="3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7"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通信误码率</w:t>
            </w:r>
          </w:p>
        </w:tc>
        <w:tc>
          <w:tcPr>
            <w:tcW w:w="3743"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7"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m:t>
                </m:r>
                <m:sSup>
                  <m:sSupPr>
                    <m:ctrlPr>
                      <w:rPr>
                        <w:rFonts w:hint="default" w:ascii="Cambria Math" w:hAnsi="Cambria Math" w:eastAsia="方正仿宋_GBK" w:cs="Times New Roman"/>
                        <w:i/>
                        <w:color w:val="000000" w:themeColor="text1"/>
                        <w:sz w:val="32"/>
                        <w:szCs w:val="32"/>
                        <w14:textFill>
                          <w14:solidFill>
                            <w14:schemeClr w14:val="tx1"/>
                          </w14:solidFill>
                        </w14:textFill>
                      </w:rPr>
                    </m:ctrlPr>
                  </m:sSupPr>
                  <m:e>
                    <m:r>
                      <m:rPr/>
                      <w:rPr>
                        <w:rFonts w:hint="default" w:ascii="Cambria Math" w:hAnsi="Cambria Math" w:eastAsia="方正仿宋_GBK" w:cs="Times New Roman"/>
                        <w:color w:val="000000" w:themeColor="text1"/>
                        <w:sz w:val="32"/>
                        <w:szCs w:val="32"/>
                        <w14:textFill>
                          <w14:solidFill>
                            <w14:schemeClr w14:val="tx1"/>
                          </w14:solidFill>
                        </w14:textFill>
                      </w:rPr>
                      <m:t>10</m:t>
                    </m:r>
                    <m:ctrlPr>
                      <w:rPr>
                        <w:rFonts w:hint="default" w:ascii="Cambria Math" w:hAnsi="Cambria Math" w:eastAsia="方正仿宋_GBK" w:cs="Times New Roman"/>
                        <w:i/>
                        <w:color w:val="000000" w:themeColor="text1"/>
                        <w:sz w:val="32"/>
                        <w:szCs w:val="32"/>
                        <w14:textFill>
                          <w14:solidFill>
                            <w14:schemeClr w14:val="tx1"/>
                          </w14:solidFill>
                        </w14:textFill>
                      </w:rPr>
                    </m:ctrlPr>
                  </m:e>
                  <m:sup>
                    <m:r>
                      <m:rPr/>
                      <w:rPr>
                        <w:rFonts w:hint="default" w:ascii="Cambria Math" w:hAnsi="Cambria Math" w:eastAsia="微软雅黑" w:cs="Times New Roman"/>
                        <w:color w:val="000000" w:themeColor="text1"/>
                        <w:sz w:val="32"/>
                        <w:szCs w:val="32"/>
                        <w14:textFill>
                          <w14:solidFill>
                            <w14:schemeClr w14:val="tx1"/>
                          </w14:solidFill>
                        </w14:textFill>
                      </w:rPr>
                      <m:t>−</m:t>
                    </m:r>
                    <m:r>
                      <m:rPr/>
                      <w:rPr>
                        <w:rFonts w:hint="default" w:ascii="Cambria Math" w:hAnsi="Cambria Math" w:eastAsia="方正仿宋_GBK" w:cs="Times New Roman"/>
                        <w:color w:val="000000" w:themeColor="text1"/>
                        <w:sz w:val="32"/>
                        <w:szCs w:val="32"/>
                        <w14:textFill>
                          <w14:solidFill>
                            <w14:schemeClr w14:val="tx1"/>
                          </w14:solidFill>
                        </w14:textFill>
                      </w:rPr>
                      <m:t>3</m:t>
                    </m:r>
                    <m:ctrlPr>
                      <w:rPr>
                        <w:rFonts w:hint="default" w:ascii="Cambria Math" w:hAnsi="Cambria Math" w:eastAsia="方正仿宋_GBK" w:cs="Times New Roman"/>
                        <w:i/>
                        <w:color w:val="000000" w:themeColor="text1"/>
                        <w:sz w:val="32"/>
                        <w:szCs w:val="32"/>
                        <w14:textFill>
                          <w14:solidFill>
                            <w14:schemeClr w14:val="tx1"/>
                          </w14:solidFill>
                        </w14:textFill>
                      </w:rPr>
                    </m:ctrlPr>
                  </m:sup>
                </m:sSup>
                <m:r>
                  <m:rPr/>
                  <w:rPr>
                    <w:rFonts w:hint="default" w:ascii="Cambria Math" w:hAnsi="Cambria Math" w:eastAsia="方正仿宋_GBK" w:cs="Times New Roman"/>
                    <w:color w:val="000000" w:themeColor="text1"/>
                    <w:sz w:val="32"/>
                    <w:szCs w:val="32"/>
                    <w14:textFill>
                      <w14:solidFill>
                        <w14:schemeClr w14:val="tx1"/>
                      </w14:solidFill>
                    </w14:textFill>
                  </w:rPr>
                  <m:t xml:space="preserve">, </m:t>
                </m:r>
                <m:sSup>
                  <m:sSupPr>
                    <m:ctrlPr>
                      <w:rPr>
                        <w:rFonts w:hint="default" w:ascii="Cambria Math" w:hAnsi="Cambria Math" w:eastAsia="方正仿宋_GBK" w:cs="Times New Roman"/>
                        <w:i/>
                        <w:color w:val="000000" w:themeColor="text1"/>
                        <w:sz w:val="32"/>
                        <w:szCs w:val="32"/>
                        <w14:textFill>
                          <w14:solidFill>
                            <w14:schemeClr w14:val="tx1"/>
                          </w14:solidFill>
                        </w14:textFill>
                      </w:rPr>
                    </m:ctrlPr>
                  </m:sSupPr>
                  <m:e>
                    <m:r>
                      <m:rPr/>
                      <w:rPr>
                        <w:rFonts w:hint="default" w:ascii="Cambria Math" w:hAnsi="Cambria Math" w:eastAsia="方正仿宋_GBK" w:cs="Times New Roman"/>
                        <w:color w:val="000000" w:themeColor="text1"/>
                        <w:sz w:val="32"/>
                        <w:szCs w:val="32"/>
                        <w14:textFill>
                          <w14:solidFill>
                            <w14:schemeClr w14:val="tx1"/>
                          </w14:solidFill>
                        </w14:textFill>
                      </w:rPr>
                      <m:t xml:space="preserve"> 10</m:t>
                    </m:r>
                    <m:ctrlPr>
                      <w:rPr>
                        <w:rFonts w:hint="default" w:ascii="Cambria Math" w:hAnsi="Cambria Math" w:eastAsia="方正仿宋_GBK" w:cs="Times New Roman"/>
                        <w:i/>
                        <w:color w:val="000000" w:themeColor="text1"/>
                        <w:sz w:val="32"/>
                        <w:szCs w:val="32"/>
                        <w14:textFill>
                          <w14:solidFill>
                            <w14:schemeClr w14:val="tx1"/>
                          </w14:solidFill>
                        </w14:textFill>
                      </w:rPr>
                    </m:ctrlPr>
                  </m:e>
                  <m:sup>
                    <m:r>
                      <m:rPr/>
                      <w:rPr>
                        <w:rFonts w:hint="default" w:ascii="Cambria Math" w:hAnsi="Cambria Math" w:eastAsia="微软雅黑" w:cs="Times New Roman"/>
                        <w:color w:val="000000" w:themeColor="text1"/>
                        <w:sz w:val="32"/>
                        <w:szCs w:val="32"/>
                        <w14:textFill>
                          <w14:solidFill>
                            <w14:schemeClr w14:val="tx1"/>
                          </w14:solidFill>
                        </w14:textFill>
                      </w:rPr>
                      <m:t>−</m:t>
                    </m:r>
                    <m:r>
                      <m:rPr/>
                      <w:rPr>
                        <w:rFonts w:hint="default" w:ascii="Cambria Math" w:hAnsi="Cambria Math" w:eastAsia="方正仿宋_GBK" w:cs="Times New Roman"/>
                        <w:color w:val="000000" w:themeColor="text1"/>
                        <w:sz w:val="32"/>
                        <w:szCs w:val="32"/>
                        <w14:textFill>
                          <w14:solidFill>
                            <w14:schemeClr w14:val="tx1"/>
                          </w14:solidFill>
                        </w14:textFill>
                      </w:rPr>
                      <m:t>2</m:t>
                    </m:r>
                    <m:ctrlPr>
                      <w:rPr>
                        <w:rFonts w:hint="default" w:ascii="Cambria Math" w:hAnsi="Cambria Math" w:eastAsia="方正仿宋_GBK" w:cs="Times New Roman"/>
                        <w:i/>
                        <w:color w:val="000000" w:themeColor="text1"/>
                        <w:sz w:val="32"/>
                        <w:szCs w:val="32"/>
                        <w14:textFill>
                          <w14:solidFill>
                            <w14:schemeClr w14:val="tx1"/>
                          </w14:solidFill>
                        </w14:textFill>
                      </w:rPr>
                    </m:ctrlPr>
                  </m:sup>
                </m:sSup>
                <m:r>
                  <m:rPr/>
                  <w:rPr>
                    <w:rFonts w:hint="default" w:ascii="Cambria Math" w:hAnsi="Cambria Math" w:eastAsia="方正仿宋_GBK" w:cs="Times New Roman"/>
                    <w:color w:val="000000" w:themeColor="text1"/>
                    <w:sz w:val="32"/>
                    <w:szCs w:val="32"/>
                    <w14:textFill>
                      <w14:solidFill>
                        <w14:schemeClr w14:val="tx1"/>
                      </w14:solidFill>
                    </w14:textFill>
                  </w:rPr>
                  <m:t>)</m:t>
                </m:r>
              </m:oMath>
            </m:oMathPara>
          </w:p>
        </w:tc>
        <w:tc>
          <w:tcPr>
            <w:tcW w:w="3743"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7"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m:t>
                </m:r>
                <m:sSup>
                  <m:sSupPr>
                    <m:ctrlPr>
                      <w:rPr>
                        <w:rFonts w:hint="default" w:ascii="Cambria Math" w:hAnsi="Cambria Math" w:eastAsia="方正仿宋_GBK" w:cs="Times New Roman"/>
                        <w:i/>
                        <w:color w:val="000000" w:themeColor="text1"/>
                        <w:sz w:val="32"/>
                        <w:szCs w:val="32"/>
                        <w14:textFill>
                          <w14:solidFill>
                            <w14:schemeClr w14:val="tx1"/>
                          </w14:solidFill>
                        </w14:textFill>
                      </w:rPr>
                    </m:ctrlPr>
                  </m:sSupPr>
                  <m:e>
                    <m:r>
                      <m:rPr/>
                      <w:rPr>
                        <w:rFonts w:hint="default" w:ascii="Cambria Math" w:hAnsi="Cambria Math" w:eastAsia="方正仿宋_GBK" w:cs="Times New Roman"/>
                        <w:color w:val="000000" w:themeColor="text1"/>
                        <w:sz w:val="32"/>
                        <w:szCs w:val="32"/>
                        <w14:textFill>
                          <w14:solidFill>
                            <w14:schemeClr w14:val="tx1"/>
                          </w14:solidFill>
                        </w14:textFill>
                      </w:rPr>
                      <m:t>10</m:t>
                    </m:r>
                    <m:ctrlPr>
                      <w:rPr>
                        <w:rFonts w:hint="default" w:ascii="Cambria Math" w:hAnsi="Cambria Math" w:eastAsia="方正仿宋_GBK" w:cs="Times New Roman"/>
                        <w:i/>
                        <w:color w:val="000000" w:themeColor="text1"/>
                        <w:sz w:val="32"/>
                        <w:szCs w:val="32"/>
                        <w14:textFill>
                          <w14:solidFill>
                            <w14:schemeClr w14:val="tx1"/>
                          </w14:solidFill>
                        </w14:textFill>
                      </w:rPr>
                    </m:ctrlPr>
                  </m:e>
                  <m:sup>
                    <m:r>
                      <m:rPr/>
                      <w:rPr>
                        <w:rFonts w:hint="default" w:ascii="Cambria Math" w:hAnsi="Cambria Math" w:eastAsia="微软雅黑" w:cs="Times New Roman"/>
                        <w:color w:val="000000" w:themeColor="text1"/>
                        <w:sz w:val="32"/>
                        <w:szCs w:val="32"/>
                        <w14:textFill>
                          <w14:solidFill>
                            <w14:schemeClr w14:val="tx1"/>
                          </w14:solidFill>
                        </w14:textFill>
                      </w:rPr>
                      <m:t>−</m:t>
                    </m:r>
                    <m:r>
                      <m:rPr/>
                      <w:rPr>
                        <w:rFonts w:hint="default" w:ascii="Cambria Math" w:hAnsi="Cambria Math" w:eastAsia="方正仿宋_GBK" w:cs="Times New Roman"/>
                        <w:color w:val="000000" w:themeColor="text1"/>
                        <w:sz w:val="32"/>
                        <w:szCs w:val="32"/>
                        <w14:textFill>
                          <w14:solidFill>
                            <w14:schemeClr w14:val="tx1"/>
                          </w14:solidFill>
                        </w14:textFill>
                      </w:rPr>
                      <m:t>4</m:t>
                    </m:r>
                    <m:ctrlPr>
                      <w:rPr>
                        <w:rFonts w:hint="default" w:ascii="Cambria Math" w:hAnsi="Cambria Math" w:eastAsia="方正仿宋_GBK" w:cs="Times New Roman"/>
                        <w:i/>
                        <w:color w:val="000000" w:themeColor="text1"/>
                        <w:sz w:val="32"/>
                        <w:szCs w:val="32"/>
                        <w14:textFill>
                          <w14:solidFill>
                            <w14:schemeClr w14:val="tx1"/>
                          </w14:solidFill>
                        </w14:textFill>
                      </w:rPr>
                    </m:ctrlPr>
                  </m:sup>
                </m:sSup>
                <m:r>
                  <m:rPr/>
                  <w:rPr>
                    <w:rFonts w:hint="default" w:ascii="Cambria Math" w:hAnsi="Cambria Math" w:eastAsia="方正仿宋_GBK" w:cs="Times New Roman"/>
                    <w:color w:val="000000" w:themeColor="text1"/>
                    <w:sz w:val="32"/>
                    <w:szCs w:val="32"/>
                    <w14:textFill>
                      <w14:solidFill>
                        <w14:schemeClr w14:val="tx1"/>
                      </w14:solidFill>
                    </w14:textFill>
                  </w:rPr>
                  <m:t xml:space="preserve">, </m:t>
                </m:r>
                <m:sSup>
                  <m:sSupPr>
                    <m:ctrlPr>
                      <w:rPr>
                        <w:rFonts w:hint="default" w:ascii="Cambria Math" w:hAnsi="Cambria Math" w:eastAsia="方正仿宋_GBK" w:cs="Times New Roman"/>
                        <w:i/>
                        <w:color w:val="000000" w:themeColor="text1"/>
                        <w:sz w:val="32"/>
                        <w:szCs w:val="32"/>
                        <w14:textFill>
                          <w14:solidFill>
                            <w14:schemeClr w14:val="tx1"/>
                          </w14:solidFill>
                        </w14:textFill>
                      </w:rPr>
                    </m:ctrlPr>
                  </m:sSupPr>
                  <m:e>
                    <m:r>
                      <m:rPr/>
                      <w:rPr>
                        <w:rFonts w:hint="default" w:ascii="Cambria Math" w:hAnsi="Cambria Math" w:eastAsia="方正仿宋_GBK" w:cs="Times New Roman"/>
                        <w:color w:val="000000" w:themeColor="text1"/>
                        <w:sz w:val="32"/>
                        <w:szCs w:val="32"/>
                        <w14:textFill>
                          <w14:solidFill>
                            <w14:schemeClr w14:val="tx1"/>
                          </w14:solidFill>
                        </w14:textFill>
                      </w:rPr>
                      <m:t xml:space="preserve"> 10</m:t>
                    </m:r>
                    <m:ctrlPr>
                      <w:rPr>
                        <w:rFonts w:hint="default" w:ascii="Cambria Math" w:hAnsi="Cambria Math" w:eastAsia="方正仿宋_GBK" w:cs="Times New Roman"/>
                        <w:i/>
                        <w:color w:val="000000" w:themeColor="text1"/>
                        <w:sz w:val="32"/>
                        <w:szCs w:val="32"/>
                        <w14:textFill>
                          <w14:solidFill>
                            <w14:schemeClr w14:val="tx1"/>
                          </w14:solidFill>
                        </w14:textFill>
                      </w:rPr>
                    </m:ctrlPr>
                  </m:e>
                  <m:sup>
                    <m:r>
                      <m:rPr/>
                      <w:rPr>
                        <w:rFonts w:hint="default" w:ascii="Cambria Math" w:hAnsi="Cambria Math" w:eastAsia="微软雅黑" w:cs="Times New Roman"/>
                        <w:color w:val="000000" w:themeColor="text1"/>
                        <w:sz w:val="32"/>
                        <w:szCs w:val="32"/>
                        <w14:textFill>
                          <w14:solidFill>
                            <w14:schemeClr w14:val="tx1"/>
                          </w14:solidFill>
                        </w14:textFill>
                      </w:rPr>
                      <m:t>−</m:t>
                    </m:r>
                    <m:r>
                      <m:rPr/>
                      <w:rPr>
                        <w:rFonts w:hint="default" w:ascii="Cambria Math" w:hAnsi="Cambria Math" w:eastAsia="方正仿宋_GBK" w:cs="Times New Roman"/>
                        <w:color w:val="000000" w:themeColor="text1"/>
                        <w:sz w:val="32"/>
                        <w:szCs w:val="32"/>
                        <w14:textFill>
                          <w14:solidFill>
                            <w14:schemeClr w14:val="tx1"/>
                          </w14:solidFill>
                        </w14:textFill>
                      </w:rPr>
                      <m:t>3</m:t>
                    </m:r>
                    <m:ctrlPr>
                      <w:rPr>
                        <w:rFonts w:hint="default" w:ascii="Cambria Math" w:hAnsi="Cambria Math" w:eastAsia="方正仿宋_GBK" w:cs="Times New Roman"/>
                        <w:i/>
                        <w:color w:val="000000" w:themeColor="text1"/>
                        <w:sz w:val="32"/>
                        <w:szCs w:val="32"/>
                        <w14:textFill>
                          <w14:solidFill>
                            <w14:schemeClr w14:val="tx1"/>
                          </w14:solidFill>
                        </w14:textFill>
                      </w:rPr>
                    </m:ctrlPr>
                  </m:sup>
                </m:sSup>
                <m:r>
                  <m:rPr/>
                  <w:rPr>
                    <w:rFonts w:hint="default" w:ascii="Cambria Math" w:hAnsi="Cambria Math" w:eastAsia="方正仿宋_GBK" w:cs="Times New Roman"/>
                    <w:color w:val="000000" w:themeColor="text1"/>
                    <w:sz w:val="32"/>
                    <w:szCs w:val="32"/>
                    <w14:textFill>
                      <w14:solidFill>
                        <w14:schemeClr w14:val="tx1"/>
                      </w14:solidFill>
                    </w14:textFill>
                  </w:rPr>
                  <m:t>)</m:t>
                </m:r>
              </m:oMath>
            </m:oMathPara>
          </w:p>
        </w:tc>
        <w:tc>
          <w:tcPr>
            <w:tcW w:w="3743"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7" w:type="dxa"/>
          </w:tcPr>
          <w:p>
            <w:pPr>
              <w:pStyle w:val="21"/>
              <w:spacing w:line="560" w:lineRule="exact"/>
              <w:ind w:firstLine="0" w:firstLineChars="0"/>
              <w:jc w:val="both"/>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ParaPr>
                <m:jc m:val="left"/>
              </m:oMathParaPr>
              <m:oMath>
                <m:r>
                  <m:rPr/>
                  <w:rPr>
                    <w:rFonts w:hint="default" w:ascii="Cambria Math" w:hAnsi="Cambria Math" w:eastAsia="方正仿宋_GBK" w:cs="Times New Roman"/>
                    <w:color w:val="000000" w:themeColor="text1"/>
                    <w:sz w:val="32"/>
                    <w:szCs w:val="32"/>
                    <w14:textFill>
                      <w14:solidFill>
                        <w14:schemeClr w14:val="tx1"/>
                      </w14:solidFill>
                    </w14:textFill>
                  </w:rPr>
                  <m:t>&lt;</m:t>
                </m:r>
                <m:sSup>
                  <m:sSupPr>
                    <m:ctrlPr>
                      <w:rPr>
                        <w:rFonts w:hint="default" w:ascii="Cambria Math" w:hAnsi="Cambria Math" w:eastAsia="方正仿宋_GBK" w:cs="Times New Roman"/>
                        <w:i/>
                        <w:color w:val="000000" w:themeColor="text1"/>
                        <w:sz w:val="32"/>
                        <w:szCs w:val="32"/>
                        <w14:textFill>
                          <w14:solidFill>
                            <w14:schemeClr w14:val="tx1"/>
                          </w14:solidFill>
                        </w14:textFill>
                      </w:rPr>
                    </m:ctrlPr>
                  </m:sSupPr>
                  <m:e>
                    <m:r>
                      <m:rPr/>
                      <w:rPr>
                        <w:rFonts w:hint="default" w:ascii="Cambria Math" w:hAnsi="Cambria Math" w:eastAsia="方正仿宋_GBK" w:cs="Times New Roman"/>
                        <w:color w:val="000000" w:themeColor="text1"/>
                        <w:sz w:val="32"/>
                        <w:szCs w:val="32"/>
                        <w14:textFill>
                          <w14:solidFill>
                            <w14:schemeClr w14:val="tx1"/>
                          </w14:solidFill>
                        </w14:textFill>
                      </w:rPr>
                      <m:t>10</m:t>
                    </m:r>
                    <m:ctrlPr>
                      <w:rPr>
                        <w:rFonts w:hint="default" w:ascii="Cambria Math" w:hAnsi="Cambria Math" w:eastAsia="方正仿宋_GBK" w:cs="Times New Roman"/>
                        <w:i/>
                        <w:color w:val="000000" w:themeColor="text1"/>
                        <w:sz w:val="32"/>
                        <w:szCs w:val="32"/>
                        <w14:textFill>
                          <w14:solidFill>
                            <w14:schemeClr w14:val="tx1"/>
                          </w14:solidFill>
                        </w14:textFill>
                      </w:rPr>
                    </m:ctrlPr>
                  </m:e>
                  <m:sup>
                    <m:r>
                      <m:rPr/>
                      <w:rPr>
                        <w:rFonts w:hint="default" w:ascii="Cambria Math" w:hAnsi="Cambria Math" w:eastAsia="微软雅黑" w:cs="Times New Roman"/>
                        <w:color w:val="000000" w:themeColor="text1"/>
                        <w:sz w:val="32"/>
                        <w:szCs w:val="32"/>
                        <w14:textFill>
                          <w14:solidFill>
                            <w14:schemeClr w14:val="tx1"/>
                          </w14:solidFill>
                        </w14:textFill>
                      </w:rPr>
                      <m:t>−</m:t>
                    </m:r>
                    <m:r>
                      <m:rPr/>
                      <w:rPr>
                        <w:rFonts w:hint="default" w:ascii="Cambria Math" w:hAnsi="Cambria Math" w:eastAsia="方正仿宋_GBK" w:cs="Times New Roman"/>
                        <w:color w:val="000000" w:themeColor="text1"/>
                        <w:sz w:val="32"/>
                        <w:szCs w:val="32"/>
                        <w14:textFill>
                          <w14:solidFill>
                            <w14:schemeClr w14:val="tx1"/>
                          </w14:solidFill>
                        </w14:textFill>
                      </w:rPr>
                      <m:t>4</m:t>
                    </m:r>
                    <m:ctrlPr>
                      <w:rPr>
                        <w:rFonts w:hint="default" w:ascii="Cambria Math" w:hAnsi="Cambria Math" w:eastAsia="方正仿宋_GBK" w:cs="Times New Roman"/>
                        <w:i/>
                        <w:color w:val="000000" w:themeColor="text1"/>
                        <w:sz w:val="32"/>
                        <w:szCs w:val="32"/>
                        <w14:textFill>
                          <w14:solidFill>
                            <w14:schemeClr w14:val="tx1"/>
                          </w14:solidFill>
                        </w14:textFill>
                      </w:rPr>
                    </m:ctrlPr>
                  </m:sup>
                </m:sSup>
              </m:oMath>
            </m:oMathPara>
          </w:p>
        </w:tc>
        <w:tc>
          <w:tcPr>
            <w:tcW w:w="3743"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10</w:t>
            </w:r>
          </w:p>
        </w:tc>
      </w:tr>
    </w:tbl>
    <w:p>
      <w:pPr>
        <w:pStyle w:val="21"/>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注：指标为所有发射接收链路的最低通信误码</w:t>
      </w:r>
    </w:p>
    <w:p>
      <w:pPr>
        <w:pStyle w:val="21"/>
        <w:keepNext w:val="0"/>
        <w:keepLines w:val="0"/>
        <w:pageBreakBefore w:val="0"/>
        <w:widowControl/>
        <w:numPr>
          <w:ilvl w:val="0"/>
          <w:numId w:val="10"/>
        </w:numPr>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平台间通信时的最小相对移动速度（分值：10分）</w:t>
      </w:r>
    </w:p>
    <w:tbl>
      <w:tblPr>
        <w:tblStyle w:val="11"/>
        <w:tblW w:w="0" w:type="auto"/>
        <w:tblInd w:w="10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6"/>
        <w:gridCol w:w="3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移动速度（kn）</w:t>
            </w:r>
          </w:p>
        </w:tc>
        <w:tc>
          <w:tcPr>
            <w:tcW w:w="3814"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
                <m:r>
                  <m:rPr/>
                  <w:rPr>
                    <w:rFonts w:hint="default" w:ascii="Cambria Math" w:hAnsi="Cambria Math" w:eastAsia="方正仿宋_GBK" w:cs="Times New Roman"/>
                    <w:color w:val="000000" w:themeColor="text1"/>
                    <w:sz w:val="32"/>
                    <w:szCs w:val="32"/>
                    <w:lang w:val="en-US"/>
                    <w14:textFill>
                      <w14:solidFill>
                        <w14:schemeClr w14:val="tx1"/>
                      </w14:solidFill>
                    </w14:textFill>
                  </w:rPr>
                  <m:t>[3, 5)</m:t>
                </m:r>
              </m:oMath>
            </m:oMathPara>
          </w:p>
        </w:tc>
        <w:tc>
          <w:tcPr>
            <w:tcW w:w="3814"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
                <m:r>
                  <m:rPr/>
                  <w:rPr>
                    <w:rFonts w:hint="default" w:ascii="Cambria Math" w:hAnsi="Cambria Math" w:eastAsia="方正仿宋_GBK" w:cs="Times New Roman"/>
                    <w:color w:val="000000" w:themeColor="text1"/>
                    <w:sz w:val="32"/>
                    <w:szCs w:val="32"/>
                    <w:lang w:val="en-US"/>
                    <w14:textFill>
                      <w14:solidFill>
                        <w14:schemeClr w14:val="tx1"/>
                      </w14:solidFill>
                    </w14:textFill>
                  </w:rPr>
                  <m:t>[5, 7)</m:t>
                </m:r>
              </m:oMath>
            </m:oMathPara>
          </w:p>
        </w:tc>
        <w:tc>
          <w:tcPr>
            <w:tcW w:w="3814"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
                <m:r>
                  <m:rPr/>
                  <w:rPr>
                    <w:rFonts w:hint="default" w:ascii="Cambria Math" w:hAnsi="Cambria Math" w:eastAsia="方正仿宋_GBK" w:cs="Times New Roman"/>
                    <w:color w:val="000000" w:themeColor="text1"/>
                    <w:sz w:val="32"/>
                    <w:szCs w:val="32"/>
                    <w:lang w:val="en-US"/>
                    <w14:textFill>
                      <w14:solidFill>
                        <w14:schemeClr w14:val="tx1"/>
                      </w14:solidFill>
                    </w14:textFill>
                  </w:rPr>
                  <m:t>[7, 9)</m:t>
                </m:r>
              </m:oMath>
            </m:oMathPara>
          </w:p>
        </w:tc>
        <w:tc>
          <w:tcPr>
            <w:tcW w:w="3814"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
                <m:r>
                  <m:rPr/>
                  <w:rPr>
                    <w:rFonts w:hint="default" w:ascii="Cambria Math" w:hAnsi="Cambria Math" w:eastAsia="方正仿宋_GBK" w:cs="Times New Roman"/>
                    <w:color w:val="000000" w:themeColor="text1"/>
                    <w:sz w:val="32"/>
                    <w:szCs w:val="32"/>
                    <w:lang w:val="en-US"/>
                    <w14:textFill>
                      <w14:solidFill>
                        <w14:schemeClr w14:val="tx1"/>
                      </w14:solidFill>
                    </w14:textFill>
                  </w:rPr>
                  <m:t>[9, 10)</m:t>
                </m:r>
              </m:oMath>
            </m:oMathPara>
          </w:p>
        </w:tc>
        <w:tc>
          <w:tcPr>
            <w:tcW w:w="3814"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m:oMathPara>
              <m:oMath>
                <m:r>
                  <m:rPr/>
                  <w:rPr>
                    <w:rFonts w:hint="default" w:ascii="Cambria Math" w:hAnsi="Cambria Math" w:eastAsia="方正仿宋_GBK" w:cs="Times New Roman"/>
                    <w:color w:val="000000" w:themeColor="text1"/>
                    <w:sz w:val="32"/>
                    <w:szCs w:val="32"/>
                    <w:lang w:val="en-US"/>
                    <w14:textFill>
                      <w14:solidFill>
                        <w14:schemeClr w14:val="tx1"/>
                      </w14:solidFill>
                    </w14:textFill>
                  </w:rPr>
                  <m:t>≥10</m:t>
                </m:r>
              </m:oMath>
            </m:oMathPara>
          </w:p>
        </w:tc>
        <w:tc>
          <w:tcPr>
            <w:tcW w:w="3814" w:type="dxa"/>
          </w:tcPr>
          <w:p>
            <w:pPr>
              <w:pStyle w:val="21"/>
              <w:spacing w:line="560" w:lineRule="exact"/>
              <w:ind w:firstLine="0" w:firstLineChars="0"/>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10</w:t>
            </w:r>
          </w:p>
        </w:tc>
      </w:tr>
    </w:tbl>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注：指标为所有发射平台中与接收平台的最小相对移动速度</w:t>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楷体_GBK" w:cs="Times New Roman"/>
          <w:color w:val="000000" w:themeColor="text1"/>
          <w:sz w:val="32"/>
          <w:szCs w:val="32"/>
          <w14:textFill>
            <w14:solidFill>
              <w14:schemeClr w14:val="tx1"/>
            </w14:solidFill>
          </w14:textFill>
        </w:rPr>
      </w:pPr>
      <w:r>
        <w:rPr>
          <w:rFonts w:hint="default" w:ascii="Times New Roman" w:hAnsi="Times New Roman" w:eastAsia="方正楷体_GBK" w:cs="Times New Roman"/>
          <w:color w:val="000000" w:themeColor="text1"/>
          <w:sz w:val="32"/>
          <w:szCs w:val="32"/>
          <w14:textFill>
            <w14:solidFill>
              <w14:schemeClr w14:val="tx1"/>
            </w14:solidFill>
          </w14:textFill>
        </w:rPr>
        <w:t>3. 附加分</w:t>
      </w:r>
    </w:p>
    <w:p>
      <w:pPr>
        <w:pStyle w:val="21"/>
        <w:pageBreakBefore w:val="0"/>
        <w:widowControl/>
        <w:kinsoku/>
        <w:wordWrap/>
        <w:overflowPunct/>
        <w:topLinePunct w:val="0"/>
        <w:autoSpaceDE/>
        <w:autoSpaceDN/>
        <w:bidi w:val="0"/>
        <w:spacing w:line="560" w:lineRule="exact"/>
        <w:ind w:left="0" w:firstLine="640" w:firstLineChars="200"/>
        <w:textAlignment w:val="auto"/>
        <w:rPr>
          <w:rFonts w:eastAsia="方正仿宋_GBK"/>
          <w:lang w:val="en-US"/>
        </w:rPr>
      </w:pPr>
      <w:r>
        <w:rPr>
          <w:rFonts w:hint="default" w:ascii="Times New Roman" w:hAnsi="Times New Roman" w:eastAsia="方正仿宋_GBK" w:cs="Times New Roman"/>
          <w:color w:val="000000" w:themeColor="text1"/>
          <w:sz w:val="32"/>
          <w:szCs w:val="32"/>
          <w14:textFill>
            <w14:solidFill>
              <w14:schemeClr w14:val="tx1"/>
            </w14:solidFill>
          </w14:textFill>
        </w:rPr>
        <w:t>若参赛者通过相关水池试验、湖试、海试进行了通信系统相关算法验证，可根据试验情况、完成程度、展示程度酌情加分。若参赛者进行了通信系统的工程设计（如算法硬件平台适应性分析与移植、通信机总体设计、通信模块设计等），可根据相关工业设计、完成程度、展示程度酌情加分。</w:t>
      </w:r>
    </w:p>
    <w:p>
      <w:pPr>
        <w:pStyle w:val="3"/>
        <w:pageBreakBefore w:val="0"/>
        <w:kinsoku/>
        <w:wordWrap/>
        <w:overflowPunct/>
        <w:topLinePunct w:val="0"/>
        <w:autoSpaceDE/>
        <w:autoSpaceDN/>
        <w:bidi w:val="0"/>
        <w:spacing w:line="560" w:lineRule="exact"/>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作品提交时间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widowControl/>
        <w:kinsoku/>
        <w:wordWrap/>
        <w:overflowPunct/>
        <w:topLinePunct w:val="0"/>
        <w:autoSpaceDE/>
        <w:autoSpaceDN/>
        <w:bidi w:val="0"/>
        <w:spacing w:line="560" w:lineRule="exact"/>
        <w:ind w:left="0" w:firstLine="640" w:firstLineChars="200"/>
        <w:jc w:val="both"/>
        <w:textAlignment w:val="auto"/>
        <w:rPr>
          <w:lang w:val="en-US"/>
        </w:rPr>
      </w:pPr>
      <w:r>
        <w:rPr>
          <w:rFonts w:hint="eastAsia"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7</w:t>
      </w:r>
      <w:r>
        <w:rPr>
          <w:rFonts w:eastAsia="方正仿宋_GBK"/>
          <w:color w:val="000000" w:themeColor="text1"/>
          <w:sz w:val="32"/>
          <w:szCs w:val="32"/>
          <w:lang w:val="en-US"/>
          <w14:textFill>
            <w14:solidFill>
              <w14:schemeClr w14:val="tx1"/>
            </w14:solidFill>
          </w14:textFill>
        </w:rPr>
        <w:t>月</w:t>
      </w:r>
      <w:r>
        <w:rPr>
          <w:rFonts w:hint="eastAsia" w:eastAsia="方正仿宋_GBK"/>
          <w:color w:val="000000" w:themeColor="text1"/>
          <w:sz w:val="32"/>
          <w:szCs w:val="32"/>
          <w:lang w:val="en-US" w:eastAsia="zh-CN"/>
          <w14:textFill>
            <w14:solidFill>
              <w14:schemeClr w14:val="tx1"/>
            </w14:solidFill>
          </w14:textFill>
        </w:rPr>
        <w:t>31</w:t>
      </w:r>
      <w:r>
        <w:rPr>
          <w:rFonts w:eastAsia="方正仿宋_GBK"/>
          <w:color w:val="000000" w:themeColor="text1"/>
          <w:sz w:val="32"/>
          <w:szCs w:val="32"/>
          <w:lang w:val="en-US"/>
          <w14:textFill>
            <w14:solidFill>
              <w14:schemeClr w14:val="tx1"/>
            </w14:solidFill>
          </w14:textFill>
        </w:rPr>
        <w:t>日前，各参赛团队提交作品，具体提交要求详见作品提交方式。</w:t>
      </w:r>
    </w:p>
    <w:p>
      <w:pPr>
        <w:pStyle w:val="3"/>
        <w:pageBreakBefore w:val="0"/>
        <w:kinsoku/>
        <w:wordWrap/>
        <w:overflowPunct/>
        <w:topLinePunct w:val="0"/>
        <w:autoSpaceDE/>
        <w:autoSpaceDN/>
        <w:bidi w:val="0"/>
        <w:spacing w:line="560" w:lineRule="exact"/>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参赛报名及作品提交方式</w:t>
      </w:r>
    </w:p>
    <w:p>
      <w:pPr>
        <w:pStyle w:val="21"/>
        <w:pageBreakBefore w:val="0"/>
        <w:widowControl/>
        <w:kinsoku/>
        <w:wordWrap/>
        <w:overflowPunct/>
        <w:topLinePunct w:val="0"/>
        <w:autoSpaceDE/>
        <w:autoSpaceDN/>
        <w:bidi w:val="0"/>
        <w:spacing w:line="560" w:lineRule="exact"/>
        <w:ind w:left="0" w:firstLine="640" w:firstLineChars="200"/>
        <w:textAlignment w:val="auto"/>
        <w:rPr>
          <w:rFonts w:hint="eastAsia" w:ascii="方正楷体_GBK" w:eastAsia="方正楷体_GBK"/>
          <w:color w:val="000000" w:themeColor="text1"/>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1. </w:t>
      </w:r>
      <w:r>
        <w:rPr>
          <w:rFonts w:hint="eastAsia" w:ascii="方正楷体_GBK" w:eastAsia="方正楷体_GBK"/>
          <w:color w:val="000000" w:themeColor="text1"/>
          <w:sz w:val="32"/>
          <w:szCs w:val="32"/>
          <w14:textFill>
            <w14:solidFill>
              <w14:schemeClr w14:val="tx1"/>
            </w14:solidFill>
          </w14:textFill>
        </w:rPr>
        <w:t>网上</w:t>
      </w:r>
      <w:r>
        <w:rPr>
          <w:rFonts w:hint="eastAsia" w:ascii="方正楷体_GBK" w:eastAsia="方正楷体_GBK"/>
          <w:color w:val="000000" w:themeColor="text1"/>
          <w:sz w:val="32"/>
          <w:szCs w:val="32"/>
          <w:lang w:val="en-US"/>
          <w14:textFill>
            <w14:solidFill>
              <w14:schemeClr w14:val="tx1"/>
            </w14:solidFill>
          </w14:textFill>
        </w:rPr>
        <w:t>报名方式</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widowControl/>
        <w:numPr>
          <w:ilvl w:val="0"/>
          <w:numId w:val="0"/>
        </w:numPr>
        <w:kinsoku/>
        <w:wordWrap/>
        <w:overflowPunct/>
        <w:topLinePunct w:val="0"/>
        <w:autoSpaceDE/>
        <w:autoSpaceDN/>
        <w:bidi w:val="0"/>
        <w:ind w:left="0" w:firstLine="640" w:firstLineChars="200"/>
        <w:textAlignment w:val="auto"/>
        <w:rPr>
          <w:rFonts w:hint="default" w:ascii="Times New Roman" w:hAnsi="Times New Roman" w:eastAsia="方正楷体_GBK" w:cs="Times New Roman"/>
          <w:color w:val="000000" w:themeColor="text1"/>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 xml:space="preserve">2. </w:t>
      </w:r>
      <w:r>
        <w:rPr>
          <w:rFonts w:hint="default" w:ascii="Times New Roman" w:hAnsi="Times New Roman" w:eastAsia="方正楷体_GBK" w:cs="Times New Roman"/>
          <w:color w:val="000000" w:themeColor="text1"/>
          <w14:textFill>
            <w14:solidFill>
              <w14:schemeClr w14:val="tx1"/>
            </w14:solidFill>
          </w14:textFill>
        </w:rPr>
        <w:t>具体作品提交方式</w:t>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21"/>
          <w:szCs w:val="21"/>
          <w:lang w:val="en-US"/>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bCs/>
          <w:color w:val="0070C0"/>
          <w:sz w:val="32"/>
          <w:szCs w:val="32"/>
          <w:lang w:val="en-US"/>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根据大赛整体时间安排，2024年7月31日前，参赛团队以光盘的形式提交参赛文件（注：2024年7月31日为递交文件的截止时间，逾期送达、未送达指定地点或不符合方案文件规定要求的参赛文件均不予受理）。提交时请将报名表、报名信息统计表、材料文档和源代码整理为压缩包，并命名为：参赛单位+团队负责人姓名+联系方式+作品命名.zip（注：压缩包内每份文件命名格式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参赛单位＋团队负责人姓名+文件名称</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spacing w:line="560" w:lineRule="exact"/>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赛事保障</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w:t>
      </w:r>
      <w:r>
        <w:rPr>
          <w:rFonts w:hint="eastAsia" w:eastAsia="方正仿宋_GBK"/>
          <w:color w:val="000000" w:themeColor="text1"/>
          <w:sz w:val="32"/>
          <w:szCs w:val="32"/>
          <w:lang w:val="en-US"/>
          <w14:textFill>
            <w14:solidFill>
              <w14:schemeClr w14:val="tx1"/>
            </w14:solidFill>
          </w14:textFill>
        </w:rPr>
        <w:t>本单位为参赛学生团队配备专门指导人员，介绍技术细节要求，针对过程中的疑问定期进行解答。</w:t>
      </w:r>
    </w:p>
    <w:p>
      <w:pPr>
        <w:pageBreakBefore w:val="0"/>
        <w:widowControl/>
        <w:kinsoku/>
        <w:wordWrap/>
        <w:overflowPunct/>
        <w:topLinePunct w:val="0"/>
        <w:autoSpaceDE/>
        <w:autoSpaceDN/>
        <w:bidi w:val="0"/>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参赛过程中，参赛团队如需本单位提供与项目相关的其他必须帮助，请提前与本单位联系，本单位将在许可范围内给予参赛团队帮助。</w:t>
      </w:r>
    </w:p>
    <w:p>
      <w:pPr>
        <w:pStyle w:val="3"/>
        <w:pageBreakBefore w:val="0"/>
        <w:kinsoku/>
        <w:wordWrap/>
        <w:overflowPunct/>
        <w:topLinePunct w:val="0"/>
        <w:autoSpaceDE/>
        <w:autoSpaceDN/>
        <w:bidi w:val="0"/>
        <w:spacing w:line="560" w:lineRule="exact"/>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widowControl/>
        <w:numPr>
          <w:ilvl w:val="0"/>
          <w:numId w:val="11"/>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widowControl/>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设特等奖5个，一、二、三等奖若干，从特等奖获奖团队中决出1个</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擂主</w:t>
      </w:r>
      <w:r>
        <w:rPr>
          <w:rFonts w:hint="eastAsia"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p>
    <w:p>
      <w:pPr>
        <w:pStyle w:val="4"/>
        <w:pageBreakBefore w:val="0"/>
        <w:widowControl/>
        <w:numPr>
          <w:ilvl w:val="0"/>
          <w:numId w:val="11"/>
        </w:numPr>
        <w:kinsoku/>
        <w:wordWrap/>
        <w:overflowPunct/>
        <w:topLinePunct w:val="0"/>
        <w:autoSpaceDE/>
        <w:autoSpaceDN/>
        <w:bidi w:val="0"/>
        <w:ind w:left="0" w:firstLine="640" w:firstLineChars="200"/>
        <w:textAlignment w:val="auto"/>
        <w:rPr>
          <w:rFonts w:hint="default" w:ascii="Times New Roman" w:hAnsi="Times New Roman" w:eastAsia="方正楷体_GBK" w:cs="Times New Roman"/>
        </w:rPr>
      </w:pPr>
      <w:r>
        <w:rPr>
          <w:rFonts w:hint="default" w:ascii="Times New Roman" w:hAnsi="Times New Roman" w:eastAsia="方正楷体_GBK" w:cs="Times New Roman"/>
          <w:color w:val="000000" w:themeColor="text1"/>
          <w:lang w:val="en-US"/>
          <w14:textFill>
            <w14:solidFill>
              <w14:schemeClr w14:val="tx1"/>
            </w14:solidFill>
          </w14:textFill>
        </w:rPr>
        <w:t>奖励措施</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hint="default" w:ascii="Times New Roman" w:hAnsi="Times New Roman" w:eastAsia="方正仿宋_GBK" w:cs="Times New Roman"/>
          <w:bCs/>
          <w:color w:val="000000"/>
          <w:spacing w:val="6"/>
          <w:sz w:val="32"/>
          <w:szCs w:val="32"/>
        </w:rPr>
      </w:pPr>
      <w:r>
        <w:rPr>
          <w:rFonts w:hint="default" w:ascii="Times New Roman" w:hAnsi="Times New Roman" w:eastAsia="方正仿宋_GBK" w:cs="Times New Roman"/>
          <w:bCs/>
          <w:color w:val="000000"/>
          <w:spacing w:val="6"/>
          <w:sz w:val="32"/>
          <w:szCs w:val="32"/>
        </w:rPr>
        <w:t>本单位将结合项目实际，拟奖励</w:t>
      </w:r>
      <w:r>
        <w:rPr>
          <w:rFonts w:hint="eastAsia" w:eastAsia="方正仿宋_GBK" w:cs="Times New Roman"/>
          <w:bCs/>
          <w:color w:val="000000"/>
          <w:spacing w:val="6"/>
          <w:sz w:val="32"/>
          <w:szCs w:val="32"/>
          <w:lang w:eastAsia="zh-CN"/>
        </w:rPr>
        <w:t>“</w:t>
      </w:r>
      <w:r>
        <w:rPr>
          <w:rFonts w:hint="default" w:ascii="Times New Roman" w:hAnsi="Times New Roman" w:eastAsia="方正仿宋_GBK" w:cs="Times New Roman"/>
          <w:bCs/>
          <w:color w:val="000000"/>
          <w:spacing w:val="6"/>
          <w:sz w:val="32"/>
          <w:szCs w:val="32"/>
        </w:rPr>
        <w:t>擂主</w:t>
      </w:r>
      <w:r>
        <w:rPr>
          <w:rFonts w:hint="eastAsia" w:eastAsia="方正仿宋_GBK" w:cs="Times New Roman"/>
          <w:bCs/>
          <w:color w:val="000000"/>
          <w:spacing w:val="6"/>
          <w:sz w:val="32"/>
          <w:szCs w:val="32"/>
          <w:lang w:eastAsia="zh-CN"/>
        </w:rPr>
        <w:t>”</w:t>
      </w:r>
      <w:r>
        <w:rPr>
          <w:rFonts w:hint="default" w:ascii="Times New Roman" w:hAnsi="Times New Roman" w:eastAsia="方正仿宋_GBK" w:cs="Times New Roman"/>
          <w:bCs/>
          <w:color w:val="000000"/>
          <w:spacing w:val="6"/>
          <w:sz w:val="32"/>
          <w:szCs w:val="32"/>
        </w:rPr>
        <w:t>1万元/队，特等奖（不含</w:t>
      </w:r>
      <w:r>
        <w:rPr>
          <w:rFonts w:hint="eastAsia" w:eastAsia="方正仿宋_GBK" w:cs="Times New Roman"/>
          <w:bCs/>
          <w:color w:val="000000"/>
          <w:spacing w:val="6"/>
          <w:sz w:val="32"/>
          <w:szCs w:val="32"/>
          <w:lang w:eastAsia="zh-CN"/>
        </w:rPr>
        <w:t>“</w:t>
      </w:r>
      <w:r>
        <w:rPr>
          <w:rFonts w:hint="default" w:ascii="Times New Roman" w:hAnsi="Times New Roman" w:eastAsia="方正仿宋_GBK" w:cs="Times New Roman"/>
          <w:bCs/>
          <w:color w:val="000000"/>
          <w:spacing w:val="6"/>
          <w:sz w:val="32"/>
          <w:szCs w:val="32"/>
        </w:rPr>
        <w:t>擂主</w:t>
      </w:r>
      <w:r>
        <w:rPr>
          <w:rFonts w:hint="eastAsia" w:eastAsia="方正仿宋_GBK" w:cs="Times New Roman"/>
          <w:bCs/>
          <w:color w:val="000000"/>
          <w:spacing w:val="6"/>
          <w:sz w:val="32"/>
          <w:szCs w:val="32"/>
          <w:lang w:eastAsia="zh-CN"/>
        </w:rPr>
        <w:t>”</w:t>
      </w:r>
      <w:r>
        <w:rPr>
          <w:rFonts w:hint="default" w:ascii="Times New Roman" w:hAnsi="Times New Roman" w:eastAsia="方正仿宋_GBK" w:cs="Times New Roman"/>
          <w:bCs/>
          <w:color w:val="000000"/>
          <w:spacing w:val="6"/>
          <w:sz w:val="32"/>
          <w:szCs w:val="32"/>
        </w:rPr>
        <w:t>）5000元/队，一等奖3000元/队，二等奖2000元/队，三等奖1000元/队。</w:t>
      </w:r>
    </w:p>
    <w:p>
      <w:pPr>
        <w:pageBreakBefore w:val="0"/>
        <w:widowControl/>
        <w:kinsoku/>
        <w:wordWrap/>
        <w:overflowPunct/>
        <w:topLinePunct w:val="0"/>
        <w:autoSpaceDE/>
        <w:autoSpaceDN/>
        <w:bidi w:val="0"/>
        <w:adjustRightInd w:val="0"/>
        <w:snapToGrid w:val="0"/>
        <w:spacing w:line="560" w:lineRule="exact"/>
        <w:ind w:left="0" w:firstLine="664" w:firstLineChars="200"/>
        <w:textAlignment w:val="auto"/>
        <w:rPr>
          <w:rFonts w:eastAsia="方正楷体_GBK"/>
        </w:rPr>
      </w:pPr>
      <w:r>
        <w:rPr>
          <w:rFonts w:hint="eastAsia" w:ascii="方正仿宋_GBK" w:eastAsia="方正仿宋_GBK"/>
          <w:bCs/>
          <w:color w:val="000000"/>
          <w:spacing w:val="6"/>
          <w:sz w:val="32"/>
          <w:szCs w:val="32"/>
        </w:rPr>
        <w:t>如本单位判定研究成果可直接支撑单位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4"/>
        <w:pageBreakBefore w:val="0"/>
        <w:widowControl/>
        <w:numPr>
          <w:ilvl w:val="0"/>
          <w:numId w:val="11"/>
        </w:numPr>
        <w:kinsoku/>
        <w:wordWrap/>
        <w:overflowPunct/>
        <w:topLinePunct w:val="0"/>
        <w:autoSpaceDE/>
        <w:autoSpaceDN/>
        <w:bidi w:val="0"/>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widowControl/>
        <w:kinsoku/>
        <w:wordWrap/>
        <w:overflowPunct/>
        <w:topLinePunct w:val="0"/>
        <w:autoSpaceDE/>
        <w:autoSpaceDN/>
        <w:bidi w:val="0"/>
        <w:spacing w:line="560" w:lineRule="exact"/>
        <w:ind w:left="0" w:firstLine="640" w:firstLineChars="200"/>
        <w:jc w:val="both"/>
        <w:textAlignment w:val="auto"/>
        <w:rPr>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比赛结束后，比赛专班赛务组工作人员会与获奖团队取得联系，填写奖金申请表。待所有获奖团队提供银行卡等详细信息后一个季度内，统一以转账方式将奖金一次性发放至获奖团队提供的指定银行卡中。</w:t>
      </w:r>
    </w:p>
    <w:p>
      <w:pPr>
        <w:pStyle w:val="3"/>
        <w:pageBreakBefore w:val="0"/>
        <w:widowControl/>
        <w:kinsoku/>
        <w:wordWrap/>
        <w:overflowPunct/>
        <w:topLinePunct w:val="0"/>
        <w:autoSpaceDE/>
        <w:autoSpaceDN/>
        <w:bidi w:val="0"/>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21"/>
        <w:pageBreakBefore w:val="0"/>
        <w:widowControl/>
        <w:numPr>
          <w:ilvl w:val="0"/>
          <w:numId w:val="12"/>
        </w:numPr>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方正楷体_GBK" w:cs="Times New Roman"/>
          <w:sz w:val="32"/>
          <w:szCs w:val="32"/>
          <w:lang w:val="en-US"/>
        </w:rPr>
      </w:pPr>
      <w:r>
        <w:rPr>
          <w:rFonts w:hint="default" w:ascii="Times New Roman" w:hAnsi="Times New Roman" w:eastAsia="方正楷体_GBK" w:cs="Times New Roman"/>
          <w:sz w:val="32"/>
          <w:szCs w:val="32"/>
          <w:lang w:val="en-US"/>
        </w:rPr>
        <w:t>联系人</w:t>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比赛专班赛务组：杨老师，电话 19808940754</w:t>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auto"/>
          <w:sz w:val="32"/>
          <w:szCs w:val="32"/>
          <w:u w:val="single"/>
          <w:lang w:val="en-US"/>
        </w:rPr>
      </w:pPr>
      <w:r>
        <w:rPr>
          <w:rFonts w:hint="eastAsia"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邮箱 </w:t>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"mailto:yangqm@idsse.ac.cn" </w:instrText>
      </w:r>
      <w:r>
        <w:rPr>
          <w:rFonts w:hint="default" w:ascii="Times New Roman" w:hAnsi="Times New Roman" w:cs="Times New Roman"/>
          <w:color w:val="auto"/>
        </w:rPr>
        <w:fldChar w:fldCharType="separate"/>
      </w:r>
      <w:r>
        <w:rPr>
          <w:rStyle w:val="16"/>
          <w:rFonts w:hint="default" w:ascii="Times New Roman" w:hAnsi="Times New Roman" w:eastAsia="方正仿宋_GBK" w:cs="Times New Roman"/>
          <w:color w:val="auto"/>
          <w:sz w:val="32"/>
          <w:szCs w:val="32"/>
          <w:lang w:val="en-US"/>
        </w:rPr>
        <w:t>yangqm@idsse.ac.cn</w:t>
      </w:r>
      <w:r>
        <w:rPr>
          <w:rStyle w:val="16"/>
          <w:rFonts w:hint="default" w:ascii="Times New Roman" w:hAnsi="Times New Roman" w:eastAsia="方正仿宋_GBK" w:cs="Times New Roman"/>
          <w:color w:val="auto"/>
          <w:sz w:val="32"/>
          <w:szCs w:val="32"/>
          <w:lang w:val="en-US"/>
        </w:rPr>
        <w:fldChar w:fldCharType="end"/>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注：若咨询的问题较多，可以通过邮箱联系。</w:t>
      </w:r>
    </w:p>
    <w:p>
      <w:pPr>
        <w:pStyle w:val="4"/>
        <w:pageBreakBefore w:val="0"/>
        <w:widowControl/>
        <w:numPr>
          <w:ilvl w:val="0"/>
          <w:numId w:val="12"/>
        </w:numPr>
        <w:kinsoku/>
        <w:wordWrap/>
        <w:overflowPunct/>
        <w:topLinePunct w:val="0"/>
        <w:autoSpaceDE/>
        <w:autoSpaceDN/>
        <w:bidi w:val="0"/>
        <w:ind w:left="0" w:leftChars="0" w:firstLine="640" w:firstLineChars="200"/>
        <w:textAlignment w:val="auto"/>
        <w:rPr>
          <w:rFonts w:hint="default" w:ascii="Times New Roman" w:hAnsi="Times New Roman" w:eastAsia="方正楷体_GBK" w:cs="Times New Roman"/>
          <w:lang w:val="en-US"/>
        </w:rPr>
      </w:pPr>
      <w:r>
        <w:rPr>
          <w:rFonts w:hint="default" w:ascii="Times New Roman" w:hAnsi="Times New Roman" w:eastAsia="方正楷体_GBK" w:cs="Times New Roman"/>
          <w:lang w:val="en-US"/>
        </w:rPr>
        <w:t>联系时间</w:t>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比赛进行期间工作日（8:30-11:30，14:00-17:30）</w:t>
      </w: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p>
    <w:p>
      <w:pPr>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p>
    <w:p>
      <w:pPr>
        <w:pageBreakBefore w:val="0"/>
        <w:widowControl/>
        <w:kinsoku/>
        <w:wordWrap/>
        <w:overflowPunct/>
        <w:topLinePunct w:val="0"/>
        <w:autoSpaceDE/>
        <w:autoSpaceDN/>
        <w:bidi w:val="0"/>
        <w:spacing w:line="560" w:lineRule="exact"/>
        <w:ind w:left="0" w:firstLine="640" w:firstLineChars="200"/>
        <w:jc w:val="right"/>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中国科学院深海科学与工程研究所</w:t>
      </w:r>
    </w:p>
    <w:p>
      <w:pPr>
        <w:spacing w:line="560" w:lineRule="exact"/>
        <w:ind w:firstLine="640" w:firstLineChars="200"/>
        <w:rPr>
          <w:rFonts w:eastAsia="方正仿宋_GBK"/>
          <w:color w:val="000000" w:themeColor="text1"/>
          <w:sz w:val="32"/>
          <w:szCs w:val="32"/>
          <w14:textFill>
            <w14:solidFill>
              <w14:schemeClr w14:val="tx1"/>
            </w14:solidFill>
          </w14:textFill>
        </w:rPr>
      </w:pPr>
      <w:bookmarkStart w:id="0" w:name="_GoBack"/>
      <w:bookmarkEnd w:id="0"/>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5" w:right="1588" w:bottom="1985" w:left="1588" w:header="850" w:footer="994"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中国科学院深海科学与工程研究所（简称</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深海所</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）是直属中国科学院的科研事业单位，位于中国海南省三亚市鹿回头半岛，由海南省人民政府、三亚市人民政府和中国科学院三方联合</w:t>
      </w:r>
      <w:r>
        <w:rPr>
          <w:rFonts w:hint="default" w:ascii="Times New Roman" w:hAnsi="Times New Roman" w:eastAsia="方正仿宋_GBK" w:cs="Times New Roman"/>
          <w:color w:val="000000" w:themeColor="text1"/>
          <w:sz w:val="32"/>
          <w:szCs w:val="32"/>
          <w:lang w:val="en-US"/>
          <w14:textFill>
            <w14:solidFill>
              <w14:schemeClr w14:val="tx1"/>
            </w14:solidFill>
          </w14:textFill>
        </w:rPr>
        <w:t>于2011年共建，2016年5</w:t>
      </w:r>
      <w:r>
        <w:rPr>
          <w:rFonts w:hint="eastAsia" w:ascii="方正仿宋_GBK" w:eastAsia="方正仿宋_GBK"/>
          <w:color w:val="000000" w:themeColor="text1"/>
          <w:sz w:val="32"/>
          <w:szCs w:val="32"/>
          <w:lang w:val="en-US"/>
          <w14:textFill>
            <w14:solidFill>
              <w14:schemeClr w14:val="tx1"/>
            </w14:solidFill>
          </w14:textFill>
        </w:rPr>
        <w:t>月建成投入正式运行。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深海所立足三亚，在我国最为临近深海的地域，建立完备的国立深海研发基地，成为国家深海研发试验的共享开放平台，填补我国深海战略上的地域空白。突破大深度海洋研究的禁区，突破海洋科学与工程之间，深海科学、深海工程技术研发与海上作业试验之间长期以来相互割裂的障碍，以深海、科学与工程技术的结合、共享与开发平台为基点，构筑科学研究</w:t>
      </w:r>
      <w:r>
        <w:rPr>
          <w:rFonts w:hint="eastAsia" w:ascii="方正仿宋_GBK" w:eastAsia="方正仿宋_GBK"/>
          <w:color w:val="000000" w:themeColor="text1"/>
          <w:sz w:val="32"/>
          <w:szCs w:val="32"/>
          <w:lang w:val="en-US" w:eastAsia="zh-CN"/>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工程技术</w:t>
      </w:r>
      <w:r>
        <w:rPr>
          <w:rFonts w:ascii="方正仿宋_GBK" w:eastAsia="方正仿宋_GBK"/>
          <w:color w:val="000000" w:themeColor="text1"/>
          <w:sz w:val="32"/>
          <w:szCs w:val="32"/>
          <w:lang w:val="en-US"/>
          <w14:textFill>
            <w14:solidFill>
              <w14:schemeClr w14:val="tx1"/>
            </w14:solidFill>
          </w14:textFill>
        </w:rPr>
        <w:t>-</w:t>
      </w:r>
      <w:r>
        <w:rPr>
          <w:rFonts w:hint="eastAsia" w:ascii="方正仿宋_GBK" w:eastAsia="方正仿宋_GBK"/>
          <w:color w:val="000000" w:themeColor="text1"/>
          <w:sz w:val="32"/>
          <w:szCs w:val="32"/>
          <w:lang w:val="en-US"/>
          <w14:textFill>
            <w14:solidFill>
              <w14:schemeClr w14:val="tx1"/>
            </w14:solidFill>
          </w14:textFill>
        </w:rPr>
        <w:t>深海作业融合性体系。通过牵头组织重大项目，挖掘和促进中国科学院及国内目前非涉海科研团队在海洋科学和工程方面的研发资源和潜力，形成综合优势，引领我国深海科学、深海技术、资源开发利用和产业化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仿宋_GBK" w:eastAsia="方正仿宋_GBK"/>
          <w:color w:val="000000" w:themeColor="text1"/>
          <w:sz w:val="32"/>
          <w:szCs w:val="32"/>
          <w:lang w:val="en-US"/>
          <w14:textFill>
            <w14:solidFill>
              <w14:schemeClr w14:val="tx1"/>
            </w14:solidFill>
          </w14:textFill>
        </w:rPr>
      </w:pPr>
      <w:r>
        <w:rPr>
          <w:rFonts w:hint="eastAsia" w:ascii="方正仿宋_GBK" w:eastAsia="方正仿宋_GBK"/>
          <w:color w:val="000000" w:themeColor="text1"/>
          <w:sz w:val="32"/>
          <w:szCs w:val="32"/>
          <w:lang w:val="en-US"/>
          <w14:textFill>
            <w14:solidFill>
              <w14:schemeClr w14:val="tx1"/>
            </w14:solidFill>
          </w14:textFill>
        </w:rPr>
        <w:t>建设集深海科学研究、工程技术研发、成果转移转化、科技服务和人才培养于一体的海洋科技创新基地；中国深海科学与工程技术核心研发基地、深海技术试验基地、海洋战略思想库和科普教育基地；国际深海科学与工程领域有重要影响力的研发机构、教育和公共服务中心；引领我国深海科学与工程技术研发方向，打造具有一流成果、一流效益、一流管理、一流人才科研机构。</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302699827"/>
      <w:docPartObj>
        <w:docPartGallery w:val="autotext"/>
      </w:docPartObj>
    </w:sdtPr>
    <w:sdtEndPr>
      <w:rPr>
        <w:sz w:val="24"/>
        <w:szCs w:val="24"/>
      </w:rPr>
    </w:sdtEndPr>
    <w:sdtContent>
      <w:p>
        <w:pPr>
          <w:pStyle w:val="6"/>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F48681"/>
    <w:multiLevelType w:val="singleLevel"/>
    <w:tmpl w:val="E5F48681"/>
    <w:lvl w:ilvl="0" w:tentative="0">
      <w:start w:val="1"/>
      <w:numFmt w:val="decimal"/>
      <w:suff w:val="space"/>
      <w:lvlText w:val="%1."/>
      <w:lvlJc w:val="left"/>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07AB637A"/>
    <w:multiLevelType w:val="multilevel"/>
    <w:tmpl w:val="07AB637A"/>
    <w:lvl w:ilvl="0" w:tentative="0">
      <w:start w:val="1"/>
      <w:numFmt w:val="bullet"/>
      <w:lvlText w:val=""/>
      <w:lvlJc w:val="left"/>
      <w:pPr>
        <w:ind w:left="2040" w:hanging="360"/>
      </w:pPr>
      <w:rPr>
        <w:rFonts w:hint="default" w:ascii="Wingdings" w:hAnsi="Wingdings"/>
      </w:rPr>
    </w:lvl>
    <w:lvl w:ilvl="1" w:tentative="0">
      <w:start w:val="1"/>
      <w:numFmt w:val="bullet"/>
      <w:lvlText w:val="o"/>
      <w:lvlJc w:val="left"/>
      <w:pPr>
        <w:ind w:left="2760" w:hanging="360"/>
      </w:pPr>
      <w:rPr>
        <w:rFonts w:hint="default" w:ascii="Courier New" w:hAnsi="Courier New" w:cs="Courier New"/>
      </w:rPr>
    </w:lvl>
    <w:lvl w:ilvl="2" w:tentative="0">
      <w:start w:val="1"/>
      <w:numFmt w:val="bullet"/>
      <w:lvlText w:val=""/>
      <w:lvlJc w:val="left"/>
      <w:pPr>
        <w:ind w:left="3480" w:hanging="360"/>
      </w:pPr>
      <w:rPr>
        <w:rFonts w:hint="default" w:ascii="Wingdings" w:hAnsi="Wingdings"/>
      </w:rPr>
    </w:lvl>
    <w:lvl w:ilvl="3" w:tentative="0">
      <w:start w:val="1"/>
      <w:numFmt w:val="bullet"/>
      <w:lvlText w:val=""/>
      <w:lvlJc w:val="left"/>
      <w:pPr>
        <w:ind w:left="4200" w:hanging="360"/>
      </w:pPr>
      <w:rPr>
        <w:rFonts w:hint="default" w:ascii="Symbol" w:hAnsi="Symbol"/>
      </w:rPr>
    </w:lvl>
    <w:lvl w:ilvl="4" w:tentative="0">
      <w:start w:val="1"/>
      <w:numFmt w:val="bullet"/>
      <w:lvlText w:val="o"/>
      <w:lvlJc w:val="left"/>
      <w:pPr>
        <w:ind w:left="4920" w:hanging="360"/>
      </w:pPr>
      <w:rPr>
        <w:rFonts w:hint="default" w:ascii="Courier New" w:hAnsi="Courier New" w:cs="Courier New"/>
      </w:rPr>
    </w:lvl>
    <w:lvl w:ilvl="5" w:tentative="0">
      <w:start w:val="1"/>
      <w:numFmt w:val="bullet"/>
      <w:lvlText w:val=""/>
      <w:lvlJc w:val="left"/>
      <w:pPr>
        <w:ind w:left="5640" w:hanging="360"/>
      </w:pPr>
      <w:rPr>
        <w:rFonts w:hint="default" w:ascii="Wingdings" w:hAnsi="Wingdings"/>
      </w:rPr>
    </w:lvl>
    <w:lvl w:ilvl="6" w:tentative="0">
      <w:start w:val="1"/>
      <w:numFmt w:val="bullet"/>
      <w:lvlText w:val=""/>
      <w:lvlJc w:val="left"/>
      <w:pPr>
        <w:ind w:left="6360" w:hanging="360"/>
      </w:pPr>
      <w:rPr>
        <w:rFonts w:hint="default" w:ascii="Symbol" w:hAnsi="Symbol"/>
      </w:rPr>
    </w:lvl>
    <w:lvl w:ilvl="7" w:tentative="0">
      <w:start w:val="1"/>
      <w:numFmt w:val="bullet"/>
      <w:lvlText w:val="o"/>
      <w:lvlJc w:val="left"/>
      <w:pPr>
        <w:ind w:left="7080" w:hanging="360"/>
      </w:pPr>
      <w:rPr>
        <w:rFonts w:hint="default" w:ascii="Courier New" w:hAnsi="Courier New" w:cs="Courier New"/>
      </w:rPr>
    </w:lvl>
    <w:lvl w:ilvl="8" w:tentative="0">
      <w:start w:val="1"/>
      <w:numFmt w:val="bullet"/>
      <w:lvlText w:val=""/>
      <w:lvlJc w:val="left"/>
      <w:pPr>
        <w:ind w:left="7800" w:hanging="360"/>
      </w:pPr>
      <w:rPr>
        <w:rFonts w:hint="default" w:ascii="Wingdings" w:hAnsi="Wingdings"/>
      </w:rPr>
    </w:lvl>
  </w:abstractNum>
  <w:abstractNum w:abstractNumId="3">
    <w:nsid w:val="23E82C43"/>
    <w:multiLevelType w:val="multilevel"/>
    <w:tmpl w:val="23E82C43"/>
    <w:lvl w:ilvl="0" w:tentative="0">
      <w:start w:val="1"/>
      <w:numFmt w:val="bullet"/>
      <w:lvlText w:val=""/>
      <w:lvlJc w:val="left"/>
      <w:pPr>
        <w:ind w:left="1360" w:hanging="360"/>
      </w:pPr>
      <w:rPr>
        <w:rFonts w:hint="default" w:ascii="Symbol" w:hAnsi="Symbol"/>
      </w:rPr>
    </w:lvl>
    <w:lvl w:ilvl="1" w:tentative="0">
      <w:start w:val="1"/>
      <w:numFmt w:val="bullet"/>
      <w:lvlText w:val="o"/>
      <w:lvlJc w:val="left"/>
      <w:pPr>
        <w:ind w:left="2080" w:hanging="360"/>
      </w:pPr>
      <w:rPr>
        <w:rFonts w:hint="default" w:ascii="Courier New" w:hAnsi="Courier New" w:cs="Courier New"/>
      </w:rPr>
    </w:lvl>
    <w:lvl w:ilvl="2" w:tentative="0">
      <w:start w:val="1"/>
      <w:numFmt w:val="bullet"/>
      <w:lvlText w:val=""/>
      <w:lvlJc w:val="left"/>
      <w:pPr>
        <w:ind w:left="2800" w:hanging="360"/>
      </w:pPr>
      <w:rPr>
        <w:rFonts w:hint="default" w:ascii="Wingdings" w:hAnsi="Wingdings"/>
      </w:rPr>
    </w:lvl>
    <w:lvl w:ilvl="3" w:tentative="0">
      <w:start w:val="1"/>
      <w:numFmt w:val="bullet"/>
      <w:lvlText w:val=""/>
      <w:lvlJc w:val="left"/>
      <w:pPr>
        <w:ind w:left="3520" w:hanging="360"/>
      </w:pPr>
      <w:rPr>
        <w:rFonts w:hint="default" w:ascii="Symbol" w:hAnsi="Symbol"/>
      </w:rPr>
    </w:lvl>
    <w:lvl w:ilvl="4" w:tentative="0">
      <w:start w:val="1"/>
      <w:numFmt w:val="bullet"/>
      <w:lvlText w:val="o"/>
      <w:lvlJc w:val="left"/>
      <w:pPr>
        <w:ind w:left="4240" w:hanging="360"/>
      </w:pPr>
      <w:rPr>
        <w:rFonts w:hint="default" w:ascii="Courier New" w:hAnsi="Courier New" w:cs="Courier New"/>
      </w:rPr>
    </w:lvl>
    <w:lvl w:ilvl="5" w:tentative="0">
      <w:start w:val="1"/>
      <w:numFmt w:val="bullet"/>
      <w:lvlText w:val=""/>
      <w:lvlJc w:val="left"/>
      <w:pPr>
        <w:ind w:left="4960" w:hanging="360"/>
      </w:pPr>
      <w:rPr>
        <w:rFonts w:hint="default" w:ascii="Wingdings" w:hAnsi="Wingdings"/>
      </w:rPr>
    </w:lvl>
    <w:lvl w:ilvl="6" w:tentative="0">
      <w:start w:val="1"/>
      <w:numFmt w:val="bullet"/>
      <w:lvlText w:val=""/>
      <w:lvlJc w:val="left"/>
      <w:pPr>
        <w:ind w:left="5680" w:hanging="360"/>
      </w:pPr>
      <w:rPr>
        <w:rFonts w:hint="default" w:ascii="Symbol" w:hAnsi="Symbol"/>
      </w:rPr>
    </w:lvl>
    <w:lvl w:ilvl="7" w:tentative="0">
      <w:start w:val="1"/>
      <w:numFmt w:val="bullet"/>
      <w:lvlText w:val="o"/>
      <w:lvlJc w:val="left"/>
      <w:pPr>
        <w:ind w:left="6400" w:hanging="360"/>
      </w:pPr>
      <w:rPr>
        <w:rFonts w:hint="default" w:ascii="Courier New" w:hAnsi="Courier New" w:cs="Courier New"/>
      </w:rPr>
    </w:lvl>
    <w:lvl w:ilvl="8" w:tentative="0">
      <w:start w:val="1"/>
      <w:numFmt w:val="bullet"/>
      <w:lvlText w:val=""/>
      <w:lvlJc w:val="left"/>
      <w:pPr>
        <w:ind w:left="7120" w:hanging="360"/>
      </w:pPr>
      <w:rPr>
        <w:rFonts w:hint="default" w:ascii="Wingdings" w:hAnsi="Wingdings"/>
      </w:rPr>
    </w:lvl>
  </w:abstractNum>
  <w:abstractNum w:abstractNumId="4">
    <w:nsid w:val="2C1853AF"/>
    <w:multiLevelType w:val="multilevel"/>
    <w:tmpl w:val="2C1853AF"/>
    <w:lvl w:ilvl="0" w:tentative="0">
      <w:start w:val="1"/>
      <w:numFmt w:val="lowerLetter"/>
      <w:lvlText w:val="%1)"/>
      <w:lvlJc w:val="left"/>
      <w:pPr>
        <w:ind w:left="1780" w:hanging="360"/>
      </w:pPr>
      <w:rPr>
        <w:rFonts w:hint="default" w:ascii="Times New Roman" w:hAnsi="Times New Roman" w:cs="Times New Roman"/>
      </w:rPr>
    </w:lvl>
    <w:lvl w:ilvl="1" w:tentative="0">
      <w:start w:val="1"/>
      <w:numFmt w:val="lowerLetter"/>
      <w:lvlText w:val="%2."/>
      <w:lvlJc w:val="left"/>
      <w:pPr>
        <w:ind w:left="2500" w:hanging="360"/>
      </w:pPr>
    </w:lvl>
    <w:lvl w:ilvl="2" w:tentative="0">
      <w:start w:val="1"/>
      <w:numFmt w:val="lowerRoman"/>
      <w:lvlText w:val="%3."/>
      <w:lvlJc w:val="right"/>
      <w:pPr>
        <w:ind w:left="3220" w:hanging="180"/>
      </w:pPr>
    </w:lvl>
    <w:lvl w:ilvl="3" w:tentative="0">
      <w:start w:val="1"/>
      <w:numFmt w:val="decimal"/>
      <w:lvlText w:val="%4."/>
      <w:lvlJc w:val="left"/>
      <w:pPr>
        <w:ind w:left="3940" w:hanging="360"/>
      </w:pPr>
    </w:lvl>
    <w:lvl w:ilvl="4" w:tentative="0">
      <w:start w:val="1"/>
      <w:numFmt w:val="lowerLetter"/>
      <w:lvlText w:val="%5."/>
      <w:lvlJc w:val="left"/>
      <w:pPr>
        <w:ind w:left="4660" w:hanging="360"/>
      </w:pPr>
    </w:lvl>
    <w:lvl w:ilvl="5" w:tentative="0">
      <w:start w:val="1"/>
      <w:numFmt w:val="lowerRoman"/>
      <w:lvlText w:val="%6."/>
      <w:lvlJc w:val="right"/>
      <w:pPr>
        <w:ind w:left="5380" w:hanging="180"/>
      </w:pPr>
    </w:lvl>
    <w:lvl w:ilvl="6" w:tentative="0">
      <w:start w:val="1"/>
      <w:numFmt w:val="decimal"/>
      <w:lvlText w:val="%7."/>
      <w:lvlJc w:val="left"/>
      <w:pPr>
        <w:ind w:left="6100" w:hanging="360"/>
      </w:pPr>
    </w:lvl>
    <w:lvl w:ilvl="7" w:tentative="0">
      <w:start w:val="1"/>
      <w:numFmt w:val="lowerLetter"/>
      <w:lvlText w:val="%8."/>
      <w:lvlJc w:val="left"/>
      <w:pPr>
        <w:ind w:left="6820" w:hanging="360"/>
      </w:pPr>
    </w:lvl>
    <w:lvl w:ilvl="8" w:tentative="0">
      <w:start w:val="1"/>
      <w:numFmt w:val="lowerRoman"/>
      <w:lvlText w:val="%9."/>
      <w:lvlJc w:val="right"/>
      <w:pPr>
        <w:ind w:left="7540" w:hanging="180"/>
      </w:pPr>
    </w:lvl>
  </w:abstractNum>
  <w:abstractNum w:abstractNumId="5">
    <w:nsid w:val="50F106BB"/>
    <w:multiLevelType w:val="multilevel"/>
    <w:tmpl w:val="50F106BB"/>
    <w:lvl w:ilvl="0" w:tentative="0">
      <w:start w:val="1"/>
      <w:numFmt w:val="bullet"/>
      <w:lvlText w:val=""/>
      <w:lvlJc w:val="left"/>
      <w:pPr>
        <w:ind w:left="1360" w:hanging="360"/>
      </w:pPr>
      <w:rPr>
        <w:rFonts w:hint="default" w:ascii="Symbol" w:hAnsi="Symbol"/>
      </w:rPr>
    </w:lvl>
    <w:lvl w:ilvl="1" w:tentative="0">
      <w:start w:val="1"/>
      <w:numFmt w:val="bullet"/>
      <w:lvlText w:val="o"/>
      <w:lvlJc w:val="left"/>
      <w:pPr>
        <w:ind w:left="2080" w:hanging="360"/>
      </w:pPr>
      <w:rPr>
        <w:rFonts w:hint="default" w:ascii="Courier New" w:hAnsi="Courier New" w:cs="Courier New"/>
      </w:rPr>
    </w:lvl>
    <w:lvl w:ilvl="2" w:tentative="0">
      <w:start w:val="1"/>
      <w:numFmt w:val="bullet"/>
      <w:lvlText w:val=""/>
      <w:lvlJc w:val="left"/>
      <w:pPr>
        <w:ind w:left="2800" w:hanging="360"/>
      </w:pPr>
      <w:rPr>
        <w:rFonts w:hint="default" w:ascii="Wingdings" w:hAnsi="Wingdings"/>
      </w:rPr>
    </w:lvl>
    <w:lvl w:ilvl="3" w:tentative="0">
      <w:start w:val="1"/>
      <w:numFmt w:val="bullet"/>
      <w:lvlText w:val=""/>
      <w:lvlJc w:val="left"/>
      <w:pPr>
        <w:ind w:left="3520" w:hanging="360"/>
      </w:pPr>
      <w:rPr>
        <w:rFonts w:hint="default" w:ascii="Symbol" w:hAnsi="Symbol"/>
      </w:rPr>
    </w:lvl>
    <w:lvl w:ilvl="4" w:tentative="0">
      <w:start w:val="1"/>
      <w:numFmt w:val="bullet"/>
      <w:lvlText w:val="o"/>
      <w:lvlJc w:val="left"/>
      <w:pPr>
        <w:ind w:left="4240" w:hanging="360"/>
      </w:pPr>
      <w:rPr>
        <w:rFonts w:hint="default" w:ascii="Courier New" w:hAnsi="Courier New" w:cs="Courier New"/>
      </w:rPr>
    </w:lvl>
    <w:lvl w:ilvl="5" w:tentative="0">
      <w:start w:val="1"/>
      <w:numFmt w:val="bullet"/>
      <w:lvlText w:val=""/>
      <w:lvlJc w:val="left"/>
      <w:pPr>
        <w:ind w:left="4960" w:hanging="360"/>
      </w:pPr>
      <w:rPr>
        <w:rFonts w:hint="default" w:ascii="Wingdings" w:hAnsi="Wingdings"/>
      </w:rPr>
    </w:lvl>
    <w:lvl w:ilvl="6" w:tentative="0">
      <w:start w:val="1"/>
      <w:numFmt w:val="bullet"/>
      <w:lvlText w:val=""/>
      <w:lvlJc w:val="left"/>
      <w:pPr>
        <w:ind w:left="5680" w:hanging="360"/>
      </w:pPr>
      <w:rPr>
        <w:rFonts w:hint="default" w:ascii="Symbol" w:hAnsi="Symbol"/>
      </w:rPr>
    </w:lvl>
    <w:lvl w:ilvl="7" w:tentative="0">
      <w:start w:val="1"/>
      <w:numFmt w:val="bullet"/>
      <w:lvlText w:val="o"/>
      <w:lvlJc w:val="left"/>
      <w:pPr>
        <w:ind w:left="6400" w:hanging="360"/>
      </w:pPr>
      <w:rPr>
        <w:rFonts w:hint="default" w:ascii="Courier New" w:hAnsi="Courier New" w:cs="Courier New"/>
      </w:rPr>
    </w:lvl>
    <w:lvl w:ilvl="8" w:tentative="0">
      <w:start w:val="1"/>
      <w:numFmt w:val="bullet"/>
      <w:lvlText w:val=""/>
      <w:lvlJc w:val="left"/>
      <w:pPr>
        <w:ind w:left="7120" w:hanging="360"/>
      </w:pPr>
      <w:rPr>
        <w:rFonts w:hint="default" w:ascii="Wingdings" w:hAnsi="Wingdings"/>
      </w:rPr>
    </w:lvl>
  </w:abstractNum>
  <w:abstractNum w:abstractNumId="6">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7">
    <w:nsid w:val="5D316F8C"/>
    <w:multiLevelType w:val="multilevel"/>
    <w:tmpl w:val="5D316F8C"/>
    <w:lvl w:ilvl="0" w:tentative="0">
      <w:start w:val="1"/>
      <w:numFmt w:val="bullet"/>
      <w:lvlText w:val=""/>
      <w:lvlJc w:val="left"/>
      <w:pPr>
        <w:ind w:left="1980" w:hanging="360"/>
      </w:pPr>
      <w:rPr>
        <w:rFonts w:hint="default" w:ascii="Wingdings" w:hAnsi="Wingdings"/>
      </w:rPr>
    </w:lvl>
    <w:lvl w:ilvl="1" w:tentative="0">
      <w:start w:val="1"/>
      <w:numFmt w:val="bullet"/>
      <w:lvlText w:val="o"/>
      <w:lvlJc w:val="left"/>
      <w:pPr>
        <w:ind w:left="2700" w:hanging="360"/>
      </w:pPr>
      <w:rPr>
        <w:rFonts w:hint="default" w:ascii="Courier New" w:hAnsi="Courier New" w:cs="Courier New"/>
      </w:rPr>
    </w:lvl>
    <w:lvl w:ilvl="2" w:tentative="0">
      <w:start w:val="1"/>
      <w:numFmt w:val="bullet"/>
      <w:lvlText w:val=""/>
      <w:lvlJc w:val="left"/>
      <w:pPr>
        <w:ind w:left="3420" w:hanging="360"/>
      </w:pPr>
      <w:rPr>
        <w:rFonts w:hint="default" w:ascii="Wingdings" w:hAnsi="Wingdings"/>
      </w:rPr>
    </w:lvl>
    <w:lvl w:ilvl="3" w:tentative="0">
      <w:start w:val="1"/>
      <w:numFmt w:val="bullet"/>
      <w:lvlText w:val=""/>
      <w:lvlJc w:val="left"/>
      <w:pPr>
        <w:ind w:left="4140" w:hanging="360"/>
      </w:pPr>
      <w:rPr>
        <w:rFonts w:hint="default" w:ascii="Symbol" w:hAnsi="Symbol"/>
      </w:rPr>
    </w:lvl>
    <w:lvl w:ilvl="4" w:tentative="0">
      <w:start w:val="1"/>
      <w:numFmt w:val="bullet"/>
      <w:lvlText w:val="o"/>
      <w:lvlJc w:val="left"/>
      <w:pPr>
        <w:ind w:left="4860" w:hanging="360"/>
      </w:pPr>
      <w:rPr>
        <w:rFonts w:hint="default" w:ascii="Courier New" w:hAnsi="Courier New" w:cs="Courier New"/>
      </w:rPr>
    </w:lvl>
    <w:lvl w:ilvl="5" w:tentative="0">
      <w:start w:val="1"/>
      <w:numFmt w:val="bullet"/>
      <w:lvlText w:val=""/>
      <w:lvlJc w:val="left"/>
      <w:pPr>
        <w:ind w:left="5580" w:hanging="360"/>
      </w:pPr>
      <w:rPr>
        <w:rFonts w:hint="default" w:ascii="Wingdings" w:hAnsi="Wingdings"/>
      </w:rPr>
    </w:lvl>
    <w:lvl w:ilvl="6" w:tentative="0">
      <w:start w:val="1"/>
      <w:numFmt w:val="bullet"/>
      <w:lvlText w:val=""/>
      <w:lvlJc w:val="left"/>
      <w:pPr>
        <w:ind w:left="6300" w:hanging="360"/>
      </w:pPr>
      <w:rPr>
        <w:rFonts w:hint="default" w:ascii="Symbol" w:hAnsi="Symbol"/>
      </w:rPr>
    </w:lvl>
    <w:lvl w:ilvl="7" w:tentative="0">
      <w:start w:val="1"/>
      <w:numFmt w:val="bullet"/>
      <w:lvlText w:val="o"/>
      <w:lvlJc w:val="left"/>
      <w:pPr>
        <w:ind w:left="7020" w:hanging="360"/>
      </w:pPr>
      <w:rPr>
        <w:rFonts w:hint="default" w:ascii="Courier New" w:hAnsi="Courier New" w:cs="Courier New"/>
      </w:rPr>
    </w:lvl>
    <w:lvl w:ilvl="8" w:tentative="0">
      <w:start w:val="1"/>
      <w:numFmt w:val="bullet"/>
      <w:lvlText w:val=""/>
      <w:lvlJc w:val="left"/>
      <w:pPr>
        <w:ind w:left="7740" w:hanging="360"/>
      </w:pPr>
      <w:rPr>
        <w:rFonts w:hint="default" w:ascii="Wingdings" w:hAnsi="Wingdings"/>
      </w:rPr>
    </w:lvl>
  </w:abstractNum>
  <w:abstractNum w:abstractNumId="8">
    <w:nsid w:val="5D36228D"/>
    <w:multiLevelType w:val="multilevel"/>
    <w:tmpl w:val="5D36228D"/>
    <w:lvl w:ilvl="0" w:tentative="0">
      <w:start w:val="1"/>
      <w:numFmt w:val="lowerLetter"/>
      <w:lvlText w:val="%1)"/>
      <w:lvlJc w:val="left"/>
      <w:pPr>
        <w:ind w:left="1000" w:hanging="360"/>
      </w:pPr>
      <w:rPr>
        <w:rFonts w:hint="default"/>
      </w:rPr>
    </w:lvl>
    <w:lvl w:ilvl="1" w:tentative="0">
      <w:start w:val="1"/>
      <w:numFmt w:val="lowerLetter"/>
      <w:lvlText w:val="%2."/>
      <w:lvlJc w:val="left"/>
      <w:pPr>
        <w:ind w:left="1720" w:hanging="360"/>
      </w:pPr>
    </w:lvl>
    <w:lvl w:ilvl="2" w:tentative="0">
      <w:start w:val="1"/>
      <w:numFmt w:val="lowerRoman"/>
      <w:lvlText w:val="%3."/>
      <w:lvlJc w:val="right"/>
      <w:pPr>
        <w:ind w:left="2440" w:hanging="180"/>
      </w:pPr>
    </w:lvl>
    <w:lvl w:ilvl="3" w:tentative="0">
      <w:start w:val="1"/>
      <w:numFmt w:val="decimal"/>
      <w:lvlText w:val="%4."/>
      <w:lvlJc w:val="left"/>
      <w:pPr>
        <w:ind w:left="3160" w:hanging="360"/>
      </w:pPr>
    </w:lvl>
    <w:lvl w:ilvl="4" w:tentative="0">
      <w:start w:val="1"/>
      <w:numFmt w:val="lowerLetter"/>
      <w:lvlText w:val="%5."/>
      <w:lvlJc w:val="left"/>
      <w:pPr>
        <w:ind w:left="3880" w:hanging="360"/>
      </w:pPr>
    </w:lvl>
    <w:lvl w:ilvl="5" w:tentative="0">
      <w:start w:val="1"/>
      <w:numFmt w:val="lowerRoman"/>
      <w:lvlText w:val="%6."/>
      <w:lvlJc w:val="right"/>
      <w:pPr>
        <w:ind w:left="4600" w:hanging="180"/>
      </w:pPr>
    </w:lvl>
    <w:lvl w:ilvl="6" w:tentative="0">
      <w:start w:val="1"/>
      <w:numFmt w:val="decimal"/>
      <w:lvlText w:val="%7."/>
      <w:lvlJc w:val="left"/>
      <w:pPr>
        <w:ind w:left="5320" w:hanging="360"/>
      </w:pPr>
    </w:lvl>
    <w:lvl w:ilvl="7" w:tentative="0">
      <w:start w:val="1"/>
      <w:numFmt w:val="lowerLetter"/>
      <w:lvlText w:val="%8."/>
      <w:lvlJc w:val="left"/>
      <w:pPr>
        <w:ind w:left="6040" w:hanging="360"/>
      </w:pPr>
    </w:lvl>
    <w:lvl w:ilvl="8" w:tentative="0">
      <w:start w:val="1"/>
      <w:numFmt w:val="lowerRoman"/>
      <w:lvlText w:val="%9."/>
      <w:lvlJc w:val="right"/>
      <w:pPr>
        <w:ind w:left="6760" w:hanging="180"/>
      </w:pPr>
    </w:lvl>
  </w:abstractNum>
  <w:abstractNum w:abstractNumId="9">
    <w:nsid w:val="656A5619"/>
    <w:multiLevelType w:val="multilevel"/>
    <w:tmpl w:val="656A5619"/>
    <w:lvl w:ilvl="0" w:tentative="0">
      <w:start w:val="1"/>
      <w:numFmt w:val="bullet"/>
      <w:lvlText w:val=""/>
      <w:lvlJc w:val="left"/>
      <w:pPr>
        <w:ind w:left="2040" w:hanging="360"/>
      </w:pPr>
      <w:rPr>
        <w:rFonts w:hint="default" w:ascii="Wingdings" w:hAnsi="Wingdings"/>
      </w:rPr>
    </w:lvl>
    <w:lvl w:ilvl="1" w:tentative="0">
      <w:start w:val="1"/>
      <w:numFmt w:val="bullet"/>
      <w:lvlText w:val="o"/>
      <w:lvlJc w:val="left"/>
      <w:pPr>
        <w:ind w:left="2760" w:hanging="360"/>
      </w:pPr>
      <w:rPr>
        <w:rFonts w:hint="default" w:ascii="Courier New" w:hAnsi="Courier New" w:cs="Courier New"/>
      </w:rPr>
    </w:lvl>
    <w:lvl w:ilvl="2" w:tentative="0">
      <w:start w:val="1"/>
      <w:numFmt w:val="bullet"/>
      <w:lvlText w:val=""/>
      <w:lvlJc w:val="left"/>
      <w:pPr>
        <w:ind w:left="3480" w:hanging="360"/>
      </w:pPr>
      <w:rPr>
        <w:rFonts w:hint="default" w:ascii="Wingdings" w:hAnsi="Wingdings"/>
      </w:rPr>
    </w:lvl>
    <w:lvl w:ilvl="3" w:tentative="0">
      <w:start w:val="1"/>
      <w:numFmt w:val="bullet"/>
      <w:lvlText w:val=""/>
      <w:lvlJc w:val="left"/>
      <w:pPr>
        <w:ind w:left="4200" w:hanging="360"/>
      </w:pPr>
      <w:rPr>
        <w:rFonts w:hint="default" w:ascii="Symbol" w:hAnsi="Symbol"/>
      </w:rPr>
    </w:lvl>
    <w:lvl w:ilvl="4" w:tentative="0">
      <w:start w:val="1"/>
      <w:numFmt w:val="bullet"/>
      <w:lvlText w:val="o"/>
      <w:lvlJc w:val="left"/>
      <w:pPr>
        <w:ind w:left="4920" w:hanging="360"/>
      </w:pPr>
      <w:rPr>
        <w:rFonts w:hint="default" w:ascii="Courier New" w:hAnsi="Courier New" w:cs="Courier New"/>
      </w:rPr>
    </w:lvl>
    <w:lvl w:ilvl="5" w:tentative="0">
      <w:start w:val="1"/>
      <w:numFmt w:val="bullet"/>
      <w:lvlText w:val=""/>
      <w:lvlJc w:val="left"/>
      <w:pPr>
        <w:ind w:left="5640" w:hanging="360"/>
      </w:pPr>
      <w:rPr>
        <w:rFonts w:hint="default" w:ascii="Wingdings" w:hAnsi="Wingdings"/>
      </w:rPr>
    </w:lvl>
    <w:lvl w:ilvl="6" w:tentative="0">
      <w:start w:val="1"/>
      <w:numFmt w:val="bullet"/>
      <w:lvlText w:val=""/>
      <w:lvlJc w:val="left"/>
      <w:pPr>
        <w:ind w:left="6360" w:hanging="360"/>
      </w:pPr>
      <w:rPr>
        <w:rFonts w:hint="default" w:ascii="Symbol" w:hAnsi="Symbol"/>
      </w:rPr>
    </w:lvl>
    <w:lvl w:ilvl="7" w:tentative="0">
      <w:start w:val="1"/>
      <w:numFmt w:val="bullet"/>
      <w:lvlText w:val="o"/>
      <w:lvlJc w:val="left"/>
      <w:pPr>
        <w:ind w:left="7080" w:hanging="360"/>
      </w:pPr>
      <w:rPr>
        <w:rFonts w:hint="default" w:ascii="Courier New" w:hAnsi="Courier New" w:cs="Courier New"/>
      </w:rPr>
    </w:lvl>
    <w:lvl w:ilvl="8" w:tentative="0">
      <w:start w:val="1"/>
      <w:numFmt w:val="bullet"/>
      <w:lvlText w:val=""/>
      <w:lvlJc w:val="left"/>
      <w:pPr>
        <w:ind w:left="7800" w:hanging="360"/>
      </w:pPr>
      <w:rPr>
        <w:rFonts w:hint="default" w:ascii="Wingdings" w:hAnsi="Wingdings"/>
      </w:rPr>
    </w:lvl>
  </w:abstractNum>
  <w:abstractNum w:abstractNumId="10">
    <w:nsid w:val="7BBC2DFF"/>
    <w:multiLevelType w:val="multilevel"/>
    <w:tmpl w:val="7BBC2DFF"/>
    <w:lvl w:ilvl="0" w:tentative="0">
      <w:start w:val="1"/>
      <w:numFmt w:val="lowerLetter"/>
      <w:lvlText w:val="%1)"/>
      <w:lvlJc w:val="left"/>
      <w:pPr>
        <w:ind w:left="1000" w:hanging="360"/>
      </w:pPr>
      <w:rPr>
        <w:rFonts w:hint="default"/>
      </w:rPr>
    </w:lvl>
    <w:lvl w:ilvl="1" w:tentative="0">
      <w:start w:val="1"/>
      <w:numFmt w:val="lowerLetter"/>
      <w:lvlText w:val="%2."/>
      <w:lvlJc w:val="left"/>
      <w:pPr>
        <w:ind w:left="1720" w:hanging="360"/>
      </w:pPr>
    </w:lvl>
    <w:lvl w:ilvl="2" w:tentative="0">
      <w:start w:val="1"/>
      <w:numFmt w:val="lowerRoman"/>
      <w:lvlText w:val="%3."/>
      <w:lvlJc w:val="right"/>
      <w:pPr>
        <w:ind w:left="2440" w:hanging="180"/>
      </w:pPr>
    </w:lvl>
    <w:lvl w:ilvl="3" w:tentative="0">
      <w:start w:val="1"/>
      <w:numFmt w:val="decimal"/>
      <w:lvlText w:val="%4."/>
      <w:lvlJc w:val="left"/>
      <w:pPr>
        <w:ind w:left="3160" w:hanging="360"/>
      </w:pPr>
    </w:lvl>
    <w:lvl w:ilvl="4" w:tentative="0">
      <w:start w:val="1"/>
      <w:numFmt w:val="lowerLetter"/>
      <w:lvlText w:val="%5."/>
      <w:lvlJc w:val="left"/>
      <w:pPr>
        <w:ind w:left="3880" w:hanging="360"/>
      </w:pPr>
    </w:lvl>
    <w:lvl w:ilvl="5" w:tentative="0">
      <w:start w:val="1"/>
      <w:numFmt w:val="lowerRoman"/>
      <w:lvlText w:val="%6."/>
      <w:lvlJc w:val="right"/>
      <w:pPr>
        <w:ind w:left="4600" w:hanging="180"/>
      </w:pPr>
    </w:lvl>
    <w:lvl w:ilvl="6" w:tentative="0">
      <w:start w:val="1"/>
      <w:numFmt w:val="decimal"/>
      <w:lvlText w:val="%7."/>
      <w:lvlJc w:val="left"/>
      <w:pPr>
        <w:ind w:left="5320" w:hanging="360"/>
      </w:pPr>
    </w:lvl>
    <w:lvl w:ilvl="7" w:tentative="0">
      <w:start w:val="1"/>
      <w:numFmt w:val="lowerLetter"/>
      <w:lvlText w:val="%8."/>
      <w:lvlJc w:val="left"/>
      <w:pPr>
        <w:ind w:left="6040" w:hanging="360"/>
      </w:pPr>
    </w:lvl>
    <w:lvl w:ilvl="8" w:tentative="0">
      <w:start w:val="1"/>
      <w:numFmt w:val="lowerRoman"/>
      <w:lvlText w:val="%9."/>
      <w:lvlJc w:val="right"/>
      <w:pPr>
        <w:ind w:left="6760" w:hanging="180"/>
      </w:pPr>
    </w:lvl>
  </w:abstractNum>
  <w:num w:numId="1">
    <w:abstractNumId w:val="1"/>
  </w:num>
  <w:num w:numId="2">
    <w:abstractNumId w:val="6"/>
  </w:num>
  <w:num w:numId="3">
    <w:abstractNumId w:val="5"/>
  </w:num>
  <w:num w:numId="4">
    <w:abstractNumId w:val="4"/>
  </w:num>
  <w:num w:numId="5">
    <w:abstractNumId w:val="9"/>
  </w:num>
  <w:num w:numId="6">
    <w:abstractNumId w:val="2"/>
  </w:num>
  <w:num w:numId="7">
    <w:abstractNumId w:val="7"/>
  </w:num>
  <w:num w:numId="8">
    <w:abstractNumId w:val="10"/>
  </w:num>
  <w:num w:numId="9">
    <w:abstractNumId w:val="3"/>
  </w:num>
  <w:num w:numId="10">
    <w:abstractNumId w:val="8"/>
  </w:num>
  <w:num w:numId="11">
    <w:abstractNumId w:val="6"/>
    <w:lvlOverride w:ilvl="0">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355C0"/>
    <w:rsid w:val="00041452"/>
    <w:rsid w:val="000533E6"/>
    <w:rsid w:val="00057714"/>
    <w:rsid w:val="000626B0"/>
    <w:rsid w:val="00064968"/>
    <w:rsid w:val="00073C72"/>
    <w:rsid w:val="00075C5A"/>
    <w:rsid w:val="00082BCF"/>
    <w:rsid w:val="000A6775"/>
    <w:rsid w:val="000B3B4F"/>
    <w:rsid w:val="000D0833"/>
    <w:rsid w:val="000D57EF"/>
    <w:rsid w:val="0010211D"/>
    <w:rsid w:val="0011069F"/>
    <w:rsid w:val="00111E5D"/>
    <w:rsid w:val="00120156"/>
    <w:rsid w:val="001367A9"/>
    <w:rsid w:val="00143054"/>
    <w:rsid w:val="001579F2"/>
    <w:rsid w:val="00161ADF"/>
    <w:rsid w:val="00164C26"/>
    <w:rsid w:val="0016564C"/>
    <w:rsid w:val="001B0D74"/>
    <w:rsid w:val="001B2C6C"/>
    <w:rsid w:val="001C0DFA"/>
    <w:rsid w:val="001D06DB"/>
    <w:rsid w:val="001D0729"/>
    <w:rsid w:val="001E559A"/>
    <w:rsid w:val="001E760D"/>
    <w:rsid w:val="001E77C2"/>
    <w:rsid w:val="001F6CC8"/>
    <w:rsid w:val="0020086A"/>
    <w:rsid w:val="00205E3B"/>
    <w:rsid w:val="002133A3"/>
    <w:rsid w:val="0021381A"/>
    <w:rsid w:val="00236E3E"/>
    <w:rsid w:val="002560B0"/>
    <w:rsid w:val="00281AE9"/>
    <w:rsid w:val="00283877"/>
    <w:rsid w:val="002938E3"/>
    <w:rsid w:val="002B0D40"/>
    <w:rsid w:val="002B6DDC"/>
    <w:rsid w:val="002D10FC"/>
    <w:rsid w:val="002E1DC5"/>
    <w:rsid w:val="002E7BFD"/>
    <w:rsid w:val="002F7B09"/>
    <w:rsid w:val="002F7D9C"/>
    <w:rsid w:val="00333CDB"/>
    <w:rsid w:val="00341051"/>
    <w:rsid w:val="00351403"/>
    <w:rsid w:val="00354FAF"/>
    <w:rsid w:val="0035637D"/>
    <w:rsid w:val="00363E2D"/>
    <w:rsid w:val="003657AC"/>
    <w:rsid w:val="00366240"/>
    <w:rsid w:val="00371816"/>
    <w:rsid w:val="003914E9"/>
    <w:rsid w:val="00392185"/>
    <w:rsid w:val="003936F8"/>
    <w:rsid w:val="0039481F"/>
    <w:rsid w:val="00396799"/>
    <w:rsid w:val="003B69A3"/>
    <w:rsid w:val="003B6C68"/>
    <w:rsid w:val="003B786C"/>
    <w:rsid w:val="003E007F"/>
    <w:rsid w:val="003E2852"/>
    <w:rsid w:val="00403615"/>
    <w:rsid w:val="00405B32"/>
    <w:rsid w:val="00407F26"/>
    <w:rsid w:val="004141E6"/>
    <w:rsid w:val="0041464C"/>
    <w:rsid w:val="00430026"/>
    <w:rsid w:val="004310A3"/>
    <w:rsid w:val="0044592C"/>
    <w:rsid w:val="00463782"/>
    <w:rsid w:val="00466675"/>
    <w:rsid w:val="00471974"/>
    <w:rsid w:val="00476A7D"/>
    <w:rsid w:val="00483410"/>
    <w:rsid w:val="004876C3"/>
    <w:rsid w:val="004913B1"/>
    <w:rsid w:val="00494F44"/>
    <w:rsid w:val="00496D3E"/>
    <w:rsid w:val="004A0A91"/>
    <w:rsid w:val="004B00B4"/>
    <w:rsid w:val="004B01E5"/>
    <w:rsid w:val="004B232C"/>
    <w:rsid w:val="004B6FF1"/>
    <w:rsid w:val="004C18DB"/>
    <w:rsid w:val="004D0FC5"/>
    <w:rsid w:val="004F30AF"/>
    <w:rsid w:val="004F3DC9"/>
    <w:rsid w:val="004F7E38"/>
    <w:rsid w:val="00512B8B"/>
    <w:rsid w:val="00517736"/>
    <w:rsid w:val="00532B4E"/>
    <w:rsid w:val="005333BA"/>
    <w:rsid w:val="00537F15"/>
    <w:rsid w:val="00553DCC"/>
    <w:rsid w:val="00554C5C"/>
    <w:rsid w:val="00556CA9"/>
    <w:rsid w:val="005753FB"/>
    <w:rsid w:val="00577641"/>
    <w:rsid w:val="00580524"/>
    <w:rsid w:val="00585CAC"/>
    <w:rsid w:val="005944CA"/>
    <w:rsid w:val="005963B5"/>
    <w:rsid w:val="005A1799"/>
    <w:rsid w:val="005A5BBF"/>
    <w:rsid w:val="005B60A9"/>
    <w:rsid w:val="005C1AAC"/>
    <w:rsid w:val="005D33E1"/>
    <w:rsid w:val="005D5575"/>
    <w:rsid w:val="005D59AD"/>
    <w:rsid w:val="005E0F11"/>
    <w:rsid w:val="00603AF5"/>
    <w:rsid w:val="006047E7"/>
    <w:rsid w:val="00606DA8"/>
    <w:rsid w:val="00613673"/>
    <w:rsid w:val="00613AAA"/>
    <w:rsid w:val="006176CF"/>
    <w:rsid w:val="006226BA"/>
    <w:rsid w:val="00633F6B"/>
    <w:rsid w:val="006344BB"/>
    <w:rsid w:val="00636F96"/>
    <w:rsid w:val="0065765C"/>
    <w:rsid w:val="00663468"/>
    <w:rsid w:val="0066573D"/>
    <w:rsid w:val="00677D98"/>
    <w:rsid w:val="0068166A"/>
    <w:rsid w:val="006A3A6E"/>
    <w:rsid w:val="006A51DF"/>
    <w:rsid w:val="006A71E0"/>
    <w:rsid w:val="006C3959"/>
    <w:rsid w:val="006C732F"/>
    <w:rsid w:val="006C772B"/>
    <w:rsid w:val="006E6DDA"/>
    <w:rsid w:val="006F08BF"/>
    <w:rsid w:val="006F7159"/>
    <w:rsid w:val="007216F0"/>
    <w:rsid w:val="00731BD8"/>
    <w:rsid w:val="0073249A"/>
    <w:rsid w:val="00746651"/>
    <w:rsid w:val="007468DB"/>
    <w:rsid w:val="00765C33"/>
    <w:rsid w:val="00767D57"/>
    <w:rsid w:val="00777C79"/>
    <w:rsid w:val="007877AA"/>
    <w:rsid w:val="007879EC"/>
    <w:rsid w:val="00787FAC"/>
    <w:rsid w:val="007C2DB3"/>
    <w:rsid w:val="007C42BA"/>
    <w:rsid w:val="007F0B95"/>
    <w:rsid w:val="007F195A"/>
    <w:rsid w:val="00805D49"/>
    <w:rsid w:val="008130AF"/>
    <w:rsid w:val="00816F55"/>
    <w:rsid w:val="00825E7C"/>
    <w:rsid w:val="00825FD8"/>
    <w:rsid w:val="008313DD"/>
    <w:rsid w:val="008321B0"/>
    <w:rsid w:val="008449D9"/>
    <w:rsid w:val="00851D22"/>
    <w:rsid w:val="00860FD3"/>
    <w:rsid w:val="00865657"/>
    <w:rsid w:val="00865F1A"/>
    <w:rsid w:val="008669B5"/>
    <w:rsid w:val="00867EEA"/>
    <w:rsid w:val="00870C9E"/>
    <w:rsid w:val="00872C0C"/>
    <w:rsid w:val="008769EE"/>
    <w:rsid w:val="0088143A"/>
    <w:rsid w:val="008836AC"/>
    <w:rsid w:val="00886F9B"/>
    <w:rsid w:val="00887D7E"/>
    <w:rsid w:val="0089086B"/>
    <w:rsid w:val="008B43EC"/>
    <w:rsid w:val="008C4B94"/>
    <w:rsid w:val="008E3EE3"/>
    <w:rsid w:val="008F2FB1"/>
    <w:rsid w:val="00905889"/>
    <w:rsid w:val="00912ADC"/>
    <w:rsid w:val="00917F07"/>
    <w:rsid w:val="00923192"/>
    <w:rsid w:val="00931DCA"/>
    <w:rsid w:val="0093518D"/>
    <w:rsid w:val="00937CB6"/>
    <w:rsid w:val="009413E2"/>
    <w:rsid w:val="00945A66"/>
    <w:rsid w:val="00951232"/>
    <w:rsid w:val="00953BA4"/>
    <w:rsid w:val="00954857"/>
    <w:rsid w:val="00961DE3"/>
    <w:rsid w:val="009632E8"/>
    <w:rsid w:val="00966187"/>
    <w:rsid w:val="00977357"/>
    <w:rsid w:val="00987542"/>
    <w:rsid w:val="00995541"/>
    <w:rsid w:val="00996802"/>
    <w:rsid w:val="009A5F81"/>
    <w:rsid w:val="009B360B"/>
    <w:rsid w:val="009F5216"/>
    <w:rsid w:val="00A0235C"/>
    <w:rsid w:val="00A03960"/>
    <w:rsid w:val="00A22759"/>
    <w:rsid w:val="00A30D68"/>
    <w:rsid w:val="00A31A98"/>
    <w:rsid w:val="00A3618A"/>
    <w:rsid w:val="00A4232F"/>
    <w:rsid w:val="00A426D6"/>
    <w:rsid w:val="00A43480"/>
    <w:rsid w:val="00A460CE"/>
    <w:rsid w:val="00A626BF"/>
    <w:rsid w:val="00AA532F"/>
    <w:rsid w:val="00AA7BD8"/>
    <w:rsid w:val="00AB1BF4"/>
    <w:rsid w:val="00AB1D18"/>
    <w:rsid w:val="00AD025A"/>
    <w:rsid w:val="00AD24CF"/>
    <w:rsid w:val="00AD6CFA"/>
    <w:rsid w:val="00AE4F9A"/>
    <w:rsid w:val="00AE66B7"/>
    <w:rsid w:val="00AE7D50"/>
    <w:rsid w:val="00B0258C"/>
    <w:rsid w:val="00B063ED"/>
    <w:rsid w:val="00B137A8"/>
    <w:rsid w:val="00B16AAA"/>
    <w:rsid w:val="00B32E7F"/>
    <w:rsid w:val="00B40CAF"/>
    <w:rsid w:val="00B52CCC"/>
    <w:rsid w:val="00B70A95"/>
    <w:rsid w:val="00B767DC"/>
    <w:rsid w:val="00B80EC7"/>
    <w:rsid w:val="00B90E6B"/>
    <w:rsid w:val="00BA70BA"/>
    <w:rsid w:val="00BA71C7"/>
    <w:rsid w:val="00BC1B59"/>
    <w:rsid w:val="00BC389B"/>
    <w:rsid w:val="00BD2644"/>
    <w:rsid w:val="00BD2B22"/>
    <w:rsid w:val="00BD73CA"/>
    <w:rsid w:val="00BE634B"/>
    <w:rsid w:val="00BF4E2D"/>
    <w:rsid w:val="00C217F1"/>
    <w:rsid w:val="00C24C93"/>
    <w:rsid w:val="00C54CF7"/>
    <w:rsid w:val="00C55527"/>
    <w:rsid w:val="00C60328"/>
    <w:rsid w:val="00C61D0B"/>
    <w:rsid w:val="00C67776"/>
    <w:rsid w:val="00C678B8"/>
    <w:rsid w:val="00C72CA6"/>
    <w:rsid w:val="00C81301"/>
    <w:rsid w:val="00C82B11"/>
    <w:rsid w:val="00C90F03"/>
    <w:rsid w:val="00C97BA0"/>
    <w:rsid w:val="00CB5FAC"/>
    <w:rsid w:val="00CE6694"/>
    <w:rsid w:val="00D05DE3"/>
    <w:rsid w:val="00D14985"/>
    <w:rsid w:val="00D279C8"/>
    <w:rsid w:val="00D30FE5"/>
    <w:rsid w:val="00D31FF4"/>
    <w:rsid w:val="00D44A14"/>
    <w:rsid w:val="00D474E2"/>
    <w:rsid w:val="00D531BB"/>
    <w:rsid w:val="00D55D40"/>
    <w:rsid w:val="00D64A7B"/>
    <w:rsid w:val="00D71164"/>
    <w:rsid w:val="00D755E0"/>
    <w:rsid w:val="00D761D2"/>
    <w:rsid w:val="00D8092B"/>
    <w:rsid w:val="00D826F5"/>
    <w:rsid w:val="00D905C1"/>
    <w:rsid w:val="00D97133"/>
    <w:rsid w:val="00DA4A6A"/>
    <w:rsid w:val="00DB02D9"/>
    <w:rsid w:val="00DB5089"/>
    <w:rsid w:val="00DB59F1"/>
    <w:rsid w:val="00DD2BB7"/>
    <w:rsid w:val="00DE6299"/>
    <w:rsid w:val="00DF09AA"/>
    <w:rsid w:val="00DF64DF"/>
    <w:rsid w:val="00DF78E0"/>
    <w:rsid w:val="00E01DD4"/>
    <w:rsid w:val="00E02303"/>
    <w:rsid w:val="00E05639"/>
    <w:rsid w:val="00E067C4"/>
    <w:rsid w:val="00E1027E"/>
    <w:rsid w:val="00E13134"/>
    <w:rsid w:val="00E21637"/>
    <w:rsid w:val="00E2542E"/>
    <w:rsid w:val="00E30024"/>
    <w:rsid w:val="00E35E50"/>
    <w:rsid w:val="00E46C70"/>
    <w:rsid w:val="00E47733"/>
    <w:rsid w:val="00E5011B"/>
    <w:rsid w:val="00E51319"/>
    <w:rsid w:val="00E524CD"/>
    <w:rsid w:val="00E65FC6"/>
    <w:rsid w:val="00E72C07"/>
    <w:rsid w:val="00E748D5"/>
    <w:rsid w:val="00E909FD"/>
    <w:rsid w:val="00EA0B44"/>
    <w:rsid w:val="00EA697C"/>
    <w:rsid w:val="00EB1E9B"/>
    <w:rsid w:val="00EB2BDB"/>
    <w:rsid w:val="00EB4B20"/>
    <w:rsid w:val="00EC1762"/>
    <w:rsid w:val="00EC5463"/>
    <w:rsid w:val="00ED3666"/>
    <w:rsid w:val="00EF3C50"/>
    <w:rsid w:val="00F04548"/>
    <w:rsid w:val="00F0614D"/>
    <w:rsid w:val="00F1317D"/>
    <w:rsid w:val="00F1757C"/>
    <w:rsid w:val="00F256C4"/>
    <w:rsid w:val="00F26931"/>
    <w:rsid w:val="00F5421F"/>
    <w:rsid w:val="00F56C43"/>
    <w:rsid w:val="00F57CAE"/>
    <w:rsid w:val="00F66C4B"/>
    <w:rsid w:val="00F70F5B"/>
    <w:rsid w:val="00F74A1C"/>
    <w:rsid w:val="00F75202"/>
    <w:rsid w:val="00F84FA8"/>
    <w:rsid w:val="00F910DA"/>
    <w:rsid w:val="00FA1D99"/>
    <w:rsid w:val="00FF252D"/>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9B15BD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43372C"/>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AF84A09"/>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700CE8"/>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003AAC"/>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0C21C9"/>
    <w:rsid w:val="4C2E0DCB"/>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94854"/>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5B0037"/>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ind w:left="0" w:firstLine="880" w:firstLineChars="200"/>
      <w:outlineLvl w:val="1"/>
    </w:pPr>
    <w:rPr>
      <w:rFonts w:ascii="方正黑体简体" w:hAnsi="方正黑体简体" w:eastAsia="方正黑体简体"/>
      <w:sz w:val="32"/>
      <w:szCs w:val="22"/>
    </w:rPr>
  </w:style>
  <w:style w:type="paragraph" w:styleId="4">
    <w:name w:val="heading 3"/>
    <w:basedOn w:val="1"/>
    <w:next w:val="1"/>
    <w:link w:val="23"/>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8"/>
    <w:autoRedefine/>
    <w:semiHidden/>
    <w:unhideWhenUsed/>
    <w:qFormat/>
    <w:uiPriority w:val="99"/>
  </w:style>
  <w:style w:type="paragraph" w:styleId="6">
    <w:name w:val="footer"/>
    <w:basedOn w:val="1"/>
    <w:link w:val="19"/>
    <w:autoRedefine/>
    <w:unhideWhenUsed/>
    <w:qFormat/>
    <w:uiPriority w:val="99"/>
    <w:pPr>
      <w:widowControl w:val="0"/>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header"/>
    <w:basedOn w:val="1"/>
    <w:link w:val="18"/>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9">
    <w:name w:val="annotation subject"/>
    <w:basedOn w:val="5"/>
    <w:next w:val="5"/>
    <w:link w:val="29"/>
    <w:autoRedefine/>
    <w:semiHidden/>
    <w:unhideWhenUsed/>
    <w:qFormat/>
    <w:uiPriority w:val="99"/>
    <w:rPr>
      <w:b/>
      <w:bCs/>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autoRedefine/>
    <w:qFormat/>
    <w:uiPriority w:val="22"/>
    <w:rPr>
      <w:b/>
      <w:bCs/>
    </w:rPr>
  </w:style>
  <w:style w:type="character" w:styleId="14">
    <w:name w:val="FollowedHyperlink"/>
    <w:basedOn w:val="12"/>
    <w:autoRedefine/>
    <w:semiHidden/>
    <w:unhideWhenUsed/>
    <w:qFormat/>
    <w:uiPriority w:val="99"/>
    <w:rPr>
      <w:color w:val="954F72" w:themeColor="followedHyperlink"/>
      <w:u w:val="single"/>
      <w14:textFill>
        <w14:solidFill>
          <w14:schemeClr w14:val="folHlink"/>
        </w14:solidFill>
      </w14:textFill>
    </w:rPr>
  </w:style>
  <w:style w:type="character" w:styleId="15">
    <w:name w:val="Emphasis"/>
    <w:basedOn w:val="12"/>
    <w:autoRedefine/>
    <w:qFormat/>
    <w:uiPriority w:val="20"/>
    <w:rPr>
      <w:i/>
      <w:iCs/>
    </w:rPr>
  </w:style>
  <w:style w:type="character" w:styleId="16">
    <w:name w:val="Hyperlink"/>
    <w:basedOn w:val="12"/>
    <w:autoRedefine/>
    <w:unhideWhenUsed/>
    <w:qFormat/>
    <w:uiPriority w:val="99"/>
    <w:rPr>
      <w:color w:val="0563C1" w:themeColor="hyperlink"/>
      <w:u w:val="single"/>
      <w14:textFill>
        <w14:solidFill>
          <w14:schemeClr w14:val="hlink"/>
        </w14:solidFill>
      </w14:textFill>
    </w:rPr>
  </w:style>
  <w:style w:type="character" w:styleId="17">
    <w:name w:val="annotation reference"/>
    <w:basedOn w:val="12"/>
    <w:autoRedefine/>
    <w:semiHidden/>
    <w:unhideWhenUsed/>
    <w:qFormat/>
    <w:uiPriority w:val="99"/>
    <w:rPr>
      <w:sz w:val="21"/>
      <w:szCs w:val="21"/>
    </w:rPr>
  </w:style>
  <w:style w:type="character" w:customStyle="1" w:styleId="18">
    <w:name w:val="页眉 字符"/>
    <w:basedOn w:val="12"/>
    <w:link w:val="7"/>
    <w:autoRedefine/>
    <w:qFormat/>
    <w:uiPriority w:val="99"/>
    <w:rPr>
      <w:sz w:val="18"/>
      <w:szCs w:val="18"/>
    </w:rPr>
  </w:style>
  <w:style w:type="character" w:customStyle="1" w:styleId="19">
    <w:name w:val="页脚 字符"/>
    <w:basedOn w:val="12"/>
    <w:link w:val="6"/>
    <w:autoRedefine/>
    <w:qFormat/>
    <w:uiPriority w:val="99"/>
    <w:rPr>
      <w:rFonts w:asciiTheme="minorHAnsi" w:hAnsiTheme="minorHAnsi" w:eastAsiaTheme="minorEastAsia" w:cstheme="minorBidi"/>
      <w:kern w:val="2"/>
      <w:sz w:val="18"/>
      <w:szCs w:val="18"/>
    </w:rPr>
  </w:style>
  <w:style w:type="character" w:customStyle="1" w:styleId="20">
    <w:name w:val="未处理的提及1"/>
    <w:basedOn w:val="12"/>
    <w:autoRedefine/>
    <w:semiHidden/>
    <w:unhideWhenUsed/>
    <w:qFormat/>
    <w:uiPriority w:val="99"/>
    <w:rPr>
      <w:color w:val="605E5C"/>
      <w:shd w:val="clear" w:color="auto" w:fill="E1DFDD"/>
    </w:rPr>
  </w:style>
  <w:style w:type="paragraph" w:styleId="21">
    <w:name w:val="List Paragraph"/>
    <w:basedOn w:val="1"/>
    <w:autoRedefine/>
    <w:qFormat/>
    <w:uiPriority w:val="34"/>
    <w:pPr>
      <w:ind w:firstLine="420" w:firstLineChars="200"/>
    </w:pPr>
  </w:style>
  <w:style w:type="character" w:customStyle="1" w:styleId="22">
    <w:name w:val="未处理的提及2"/>
    <w:basedOn w:val="12"/>
    <w:autoRedefine/>
    <w:semiHidden/>
    <w:unhideWhenUsed/>
    <w:qFormat/>
    <w:uiPriority w:val="99"/>
    <w:rPr>
      <w:color w:val="605E5C"/>
      <w:shd w:val="clear" w:color="auto" w:fill="E1DFDD"/>
    </w:rPr>
  </w:style>
  <w:style w:type="character" w:customStyle="1" w:styleId="23">
    <w:name w:val="标题 3 字符"/>
    <w:link w:val="4"/>
    <w:autoRedefine/>
    <w:qFormat/>
    <w:uiPriority w:val="0"/>
    <w:rPr>
      <w:rFonts w:ascii="方正楷体简体" w:hAnsi="方正楷体简体" w:eastAsia="方正楷体简体"/>
      <w:sz w:val="32"/>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character" w:customStyle="1" w:styleId="25">
    <w:name w:val="Unresolved Mention"/>
    <w:basedOn w:val="12"/>
    <w:autoRedefine/>
    <w:semiHidden/>
    <w:unhideWhenUsed/>
    <w:qFormat/>
    <w:uiPriority w:val="99"/>
    <w:rPr>
      <w:color w:val="605E5C"/>
      <w:shd w:val="clear" w:color="auto" w:fill="E1DFDD"/>
    </w:rPr>
  </w:style>
  <w:style w:type="paragraph" w:customStyle="1" w:styleId="26">
    <w:name w:val="Revision"/>
    <w:autoRedefine/>
    <w:hidden/>
    <w:unhideWhenUsed/>
    <w:qFormat/>
    <w:uiPriority w:val="99"/>
    <w:rPr>
      <w:rFonts w:ascii="Times New Roman" w:hAnsi="Times New Roman" w:eastAsia="Times New Roman" w:cs="Times New Roman"/>
      <w:sz w:val="24"/>
      <w:szCs w:val="24"/>
      <w:lang w:val="en-GB" w:eastAsia="zh-CN" w:bidi="ar-SA"/>
    </w:rPr>
  </w:style>
  <w:style w:type="character" w:styleId="27">
    <w:name w:val="Placeholder Text"/>
    <w:basedOn w:val="12"/>
    <w:autoRedefine/>
    <w:unhideWhenUsed/>
    <w:qFormat/>
    <w:uiPriority w:val="99"/>
    <w:rPr>
      <w:color w:val="666666"/>
    </w:rPr>
  </w:style>
  <w:style w:type="character" w:customStyle="1" w:styleId="28">
    <w:name w:val="批注文字 字符"/>
    <w:basedOn w:val="12"/>
    <w:link w:val="5"/>
    <w:autoRedefine/>
    <w:semiHidden/>
    <w:qFormat/>
    <w:uiPriority w:val="99"/>
    <w:rPr>
      <w:rFonts w:eastAsia="Times New Roman"/>
      <w:sz w:val="24"/>
      <w:szCs w:val="24"/>
      <w:lang w:val="en-GB"/>
    </w:rPr>
  </w:style>
  <w:style w:type="character" w:customStyle="1" w:styleId="29">
    <w:name w:val="批注主题 字符"/>
    <w:basedOn w:val="28"/>
    <w:link w:val="9"/>
    <w:autoRedefine/>
    <w:semiHidden/>
    <w:qFormat/>
    <w:uiPriority w:val="99"/>
    <w:rPr>
      <w:rFonts w:eastAsia="Times New Roman"/>
      <w:b/>
      <w:bCs/>
      <w:sz w:val="24"/>
      <w:szCs w:val="24"/>
      <w:lang w:val="en-G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FBBBF-AF97-49D4-A87E-88B2E02C6F16}">
  <ds:schemaRefs/>
</ds:datastoreItem>
</file>

<file path=docProps/app.xml><?xml version="1.0" encoding="utf-8"?>
<Properties xmlns="http://schemas.openxmlformats.org/officeDocument/2006/extended-properties" xmlns:vt="http://schemas.openxmlformats.org/officeDocument/2006/docPropsVTypes">
  <Template>Normal</Template>
  <Pages>11</Pages>
  <Words>719</Words>
  <Characters>4102</Characters>
  <Lines>34</Lines>
  <Paragraphs>9</Paragraphs>
  <TotalTime>0</TotalTime>
  <ScaleCrop>false</ScaleCrop>
  <LinksUpToDate>false</LinksUpToDate>
  <CharactersWithSpaces>4812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2024-03-31T03:09:00Z</dcterms:created>
  <dc:creator>张 斌</dc:creator>
  <cp:lastModifiedBy>朱赫</cp:lastModifiedBy>
  <cp:lastPrinted>2023-02-10T11:47:00Z</cp:lastPrinted>
  <dcterms:modified xsi:type="dcterms:W3CDTF">2024-04-17T00:45:31Z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