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31：</w:t>
      </w:r>
      <w:bookmarkStart w:id="0" w:name="_GoBack"/>
      <w:bookmarkEnd w:id="0"/>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新一代混合动力农用机械方案设计与</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default" w:ascii="Times New Roman" w:hAnsi="Times New Roman" w:eastAsia="方正大标宋_GBK"/>
          <w:b w:val="0"/>
          <w:bCs w:val="0"/>
          <w:color w:val="000000" w:themeColor="text1"/>
          <w:sz w:val="44"/>
          <w:szCs w:val="44"/>
          <w14:textFill>
            <w14:solidFill>
              <w14:schemeClr w14:val="tx1"/>
            </w14:solidFill>
          </w14:textFill>
        </w:rPr>
        <w:t>关键技术研发</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eastAsia="方正楷体_GBK" w:cs="方正楷体_GBK"/>
          <w:color w:val="000000" w:themeColor="text1"/>
          <w:sz w:val="32"/>
          <w:szCs w:val="32"/>
          <w:lang w:val="en-US"/>
          <w14:textFill>
            <w14:solidFill>
              <w14:schemeClr w14:val="tx1"/>
            </w14:solidFill>
          </w14:textFill>
        </w:rPr>
      </w:pPr>
      <w:r>
        <w:rPr>
          <w:rFonts w:hint="eastAsia" w:eastAsia="方正楷体_GBK" w:cs="方正楷体_GBK"/>
          <w:color w:val="000000" w:themeColor="text1"/>
          <w:sz w:val="32"/>
          <w:szCs w:val="32"/>
          <w:lang w:val="en-US"/>
          <w14:textFill>
            <w14:solidFill>
              <w14:schemeClr w14:val="tx1"/>
            </w14:solidFill>
          </w14:textFill>
        </w:rPr>
        <w:t>（广西玉柴机器股份有限公司）</w:t>
      </w:r>
    </w:p>
    <w:p>
      <w:pPr>
        <w:spacing w:line="640" w:lineRule="exact"/>
        <w:jc w:val="center"/>
        <w:rPr>
          <w:rFonts w:eastAsia="方正楷体_GBK" w:cs="方正楷体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ind w:left="0" w:firstLine="640" w:firstLineChars="200"/>
        <w:textAlignment w:val="auto"/>
        <w:rPr>
          <w:spacing w:val="0"/>
          <w:lang w:val="en-US"/>
        </w:rPr>
      </w:pPr>
      <w:r>
        <w:rPr>
          <w:spacing w:val="0"/>
          <w:lang w:val="en-US"/>
        </w:rPr>
        <w:t>组织单位</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广西玉柴机器股份有限公司</w:t>
      </w:r>
    </w:p>
    <w:p>
      <w:pPr>
        <w:pStyle w:val="3"/>
        <w:pageBreakBefore w:val="0"/>
        <w:kinsoku/>
        <w:wordWrap/>
        <w:overflowPunct/>
        <w:topLinePunct w:val="0"/>
        <w:autoSpaceDE/>
        <w:autoSpaceDN/>
        <w:bidi w:val="0"/>
        <w:ind w:left="0" w:firstLine="640" w:firstLineChars="200"/>
        <w:textAlignment w:val="auto"/>
        <w:rPr>
          <w:spacing w:val="0"/>
          <w:lang w:val="en-US"/>
        </w:rPr>
      </w:pPr>
      <w:r>
        <w:rPr>
          <w:spacing w:val="0"/>
          <w:lang w:val="en-US"/>
        </w:rPr>
        <w:t>题目名称</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新一代混合动力农用机械方案设计与关键技术研发</w:t>
      </w:r>
    </w:p>
    <w:p>
      <w:pPr>
        <w:pStyle w:val="3"/>
        <w:pageBreakBefore w:val="0"/>
        <w:kinsoku/>
        <w:wordWrap/>
        <w:overflowPunct/>
        <w:topLinePunct w:val="0"/>
        <w:autoSpaceDE/>
        <w:autoSpaceDN/>
        <w:bidi w:val="0"/>
        <w:ind w:left="0" w:firstLine="640" w:firstLineChars="200"/>
        <w:textAlignment w:val="auto"/>
        <w:rPr>
          <w:spacing w:val="0"/>
          <w:lang w:val="en-US"/>
        </w:rPr>
      </w:pPr>
      <w:r>
        <w:rPr>
          <w:spacing w:val="0"/>
          <w:lang w:val="en-US"/>
        </w:rPr>
        <w:t>题目介绍</w:t>
      </w:r>
    </w:p>
    <w:p>
      <w:pPr>
        <w:pageBreakBefore w:val="0"/>
        <w:widowControl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农业现代化离不开农机现代化。农业机械装备作为农业科技的集成和大规模应用重要载体，是发展现代农业的重要基础，是保障国家粮食安全的重要支撑。2024年中央一号文件提出强化农业科技支撑，要大力实施农机装备补短板行动。加快推动大马力农机等先进适用耐用农机创制，有利于推动高水平农业科技自立自强，为全面推进乡村振兴、加快建设农业强国提供有力的装备支撑。目前国外先进大马力农用机械产品如拖拉机、收割机、采棉机等普遍应用液压机械无级变速（HMCVT）、动力换挡自动变速（PST）等先进传动技术，而由于制造工艺和机电液集成开发能力的限制，国内农机企业尚未完全实现对HMCVT、PST 等关键技术的突破，因此在传统的传动技术领域，国内外技术水平差距较大且有继续扩大的趋势。随着新能源动力总成技术的快速发展，为解决国产农用机械传动系统</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卡脖子</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难题提供了新的、有效可行的技术思路。混合动力系统由发动机和电机组成动力源进行动力耦合，弥补了各自的劣势同时将各自的优势最大化，在节能减排及商业化应用方面具有突出优势，并且在对于混合动力系统的研究上，国内外均处于关键部件与整机应用的研发阶段，处于同一技术水平。因此，混合动力技术是国产大马力农用机械在国际赛道上实现弯道超车的绝佳机会。</w:t>
      </w:r>
    </w:p>
    <w:p>
      <w:pPr>
        <w:pageBreakBefore w:val="0"/>
        <w:widowControl w:val="0"/>
        <w:kinsoku/>
        <w:wordWrap/>
        <w:overflowPunct/>
        <w:topLinePunct w:val="0"/>
        <w:autoSpaceDE/>
        <w:autoSpaceDN/>
        <w:bidi w:val="0"/>
        <w:spacing w:line="560" w:lineRule="exact"/>
        <w:ind w:left="0" w:firstLine="640" w:firstLineChars="200"/>
        <w:jc w:val="both"/>
        <w:textAlignment w:val="auto"/>
        <w:rPr>
          <w:spacing w:val="0"/>
          <w:lang w:val="en-US"/>
        </w:rPr>
      </w:pPr>
      <w:r>
        <w:rPr>
          <w:rFonts w:eastAsia="方正仿宋_GBK"/>
          <w:color w:val="000000" w:themeColor="text1"/>
          <w:spacing w:val="0"/>
          <w:sz w:val="32"/>
          <w:szCs w:val="32"/>
          <w:lang w:val="en-US"/>
          <w14:textFill>
            <w14:solidFill>
              <w14:schemeClr w14:val="tx1"/>
            </w14:solidFill>
          </w14:textFill>
        </w:rPr>
        <w:t>基于此，给出了本次选题——新一代混合动力农用机械方案设计与关键技术研发</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要求参赛者自行选择一种农用机械采用混合动力方案进行设计并对其所涉及的关键技术包括混合动力总成研发、核心零部件开发、高效系统运行策略研发等进行研究给出具体方案并进行仿真测试验证方案的可行性与有效性</w:t>
      </w:r>
      <w:r>
        <w:rPr>
          <w:rFonts w:hint="eastAsia" w:eastAsia="方正仿宋_GBK"/>
          <w:color w:val="000000" w:themeColor="text1"/>
          <w:spacing w:val="0"/>
          <w:sz w:val="32"/>
          <w:szCs w:val="32"/>
          <w:lang w:val="en-US"/>
          <w14:textFill>
            <w14:solidFill>
              <w14:schemeClr w14:val="tx1"/>
            </w14:solidFill>
          </w14:textFill>
        </w:rPr>
        <w:t>。</w:t>
      </w:r>
    </w:p>
    <w:p>
      <w:pPr>
        <w:pStyle w:val="3"/>
        <w:pageBreakBefore w:val="0"/>
        <w:kinsoku/>
        <w:wordWrap/>
        <w:overflowPunct/>
        <w:topLinePunct w:val="0"/>
        <w:autoSpaceDE/>
        <w:autoSpaceDN/>
        <w:bidi w:val="0"/>
        <w:ind w:left="0" w:firstLine="640" w:firstLineChars="200"/>
        <w:textAlignment w:val="auto"/>
        <w:rPr>
          <w:spacing w:val="0"/>
          <w:lang w:val="en-US"/>
        </w:rPr>
      </w:pPr>
      <w:r>
        <w:rPr>
          <w:rFonts w:hint="eastAsia"/>
          <w:spacing w:val="0"/>
          <w:lang w:val="en-US"/>
        </w:rPr>
        <w:t>参赛对象</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ascii="Times New Roman" w:hAnsi="Times New Roman" w:eastAsia="方正仿宋_GBK" w:cs="Times New Roman"/>
          <w:color w:val="000000" w:themeColor="text1"/>
          <w:spacing w:val="0"/>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0"/>
          <w:sz w:val="32"/>
          <w:szCs w:val="32"/>
          <w14:textFill>
            <w14:solidFill>
              <w14:schemeClr w14:val="tx1"/>
            </w14:solidFill>
          </w14:textFill>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spacing w:before="0" w:beforeAutospacing="0" w:after="0" w:afterAutospacing="0" w:line="560" w:lineRule="exact"/>
        <w:ind w:left="0" w:firstLine="640" w:firstLineChars="200"/>
        <w:jc w:val="both"/>
        <w:textAlignment w:val="auto"/>
        <w:rPr>
          <w:rFonts w:ascii="Times New Roman" w:hAnsi="Times New Roman" w:eastAsia="方正仿宋_GBK" w:cs="Times New Roman"/>
          <w:b/>
          <w:bCs/>
          <w:color w:val="000000" w:themeColor="text1"/>
          <w:spacing w:val="0"/>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0"/>
          <w:sz w:val="32"/>
          <w:szCs w:val="32"/>
          <w14:textFill>
            <w14:solidFill>
              <w14:schemeClr w14:val="tx1"/>
            </w14:solidFill>
          </w14:textFill>
        </w:rPr>
        <w:t>每所学校选送参加专项赛的作品数量不设限制，但同一作品不得同时参加第十九届</w:t>
      </w:r>
      <w:r>
        <w:rPr>
          <w:rStyle w:val="11"/>
          <w:rFonts w:hint="eastAsia" w:ascii="Times New Roman" w:hAnsi="Times New Roman" w:eastAsia="方正仿宋_GBK" w:cs="Times New Roman"/>
          <w:b w:val="0"/>
          <w:bCs w:val="0"/>
          <w:color w:val="000000" w:themeColor="text1"/>
          <w:spacing w:val="0"/>
          <w:sz w:val="32"/>
          <w:szCs w:val="32"/>
          <w:lang w:eastAsia="zh-CN"/>
          <w14:textFill>
            <w14:solidFill>
              <w14:schemeClr w14:val="tx1"/>
            </w14:solidFill>
          </w14:textFill>
        </w:rPr>
        <w:t>“</w:t>
      </w:r>
      <w:r>
        <w:rPr>
          <w:rStyle w:val="11"/>
          <w:rFonts w:ascii="Times New Roman" w:hAnsi="Times New Roman" w:eastAsia="方正仿宋_GBK" w:cs="Times New Roman"/>
          <w:b w:val="0"/>
          <w:bCs w:val="0"/>
          <w:color w:val="000000" w:themeColor="text1"/>
          <w:spacing w:val="0"/>
          <w:sz w:val="32"/>
          <w:szCs w:val="32"/>
          <w14:textFill>
            <w14:solidFill>
              <w14:schemeClr w14:val="tx1"/>
            </w14:solidFill>
          </w14:textFill>
        </w:rPr>
        <w:t>挑战杯</w:t>
      </w:r>
      <w:r>
        <w:rPr>
          <w:rStyle w:val="11"/>
          <w:rFonts w:hint="eastAsia" w:ascii="Times New Roman" w:hAnsi="Times New Roman" w:eastAsia="方正仿宋_GBK" w:cs="Times New Roman"/>
          <w:b w:val="0"/>
          <w:bCs w:val="0"/>
          <w:color w:val="000000" w:themeColor="text1"/>
          <w:spacing w:val="0"/>
          <w:sz w:val="32"/>
          <w:szCs w:val="32"/>
          <w:lang w:eastAsia="zh-CN"/>
          <w14:textFill>
            <w14:solidFill>
              <w14:schemeClr w14:val="tx1"/>
            </w14:solidFill>
          </w14:textFill>
        </w:rPr>
        <w:t>”</w:t>
      </w:r>
      <w:r>
        <w:rPr>
          <w:rStyle w:val="11"/>
          <w:rFonts w:ascii="Times New Roman" w:hAnsi="Times New Roman" w:eastAsia="方正仿宋_GBK" w:cs="Times New Roman"/>
          <w:b w:val="0"/>
          <w:bCs w:val="0"/>
          <w:color w:val="000000" w:themeColor="text1"/>
          <w:spacing w:val="0"/>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ind w:left="0" w:firstLine="640" w:firstLineChars="200"/>
        <w:textAlignment w:val="auto"/>
        <w:rPr>
          <w:spacing w:val="0"/>
          <w:lang w:val="en-US"/>
        </w:rPr>
      </w:pPr>
      <w:r>
        <w:rPr>
          <w:rFonts w:hint="eastAsia"/>
          <w:spacing w:val="0"/>
          <w:lang w:val="en-US"/>
        </w:rPr>
        <w:t>答题要求</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参赛者自行选择一种农用机械（例如：拖拉机、收割机、采棉机、青贮机等）并采用混合动力技术方案进行研发设计、仿真计算与验证，要求其整机马力大于200马力，传动系统满足电驱动无级变速，并对其关键技术，包括但不限于混合动力总成研发设计、核心零部件（高效低排柴油机、高效电机、机电耦合结构等）设计开发、高效混合动力系统运行策略制定等进行研究。最终的作品提交内容包括</w:t>
      </w:r>
      <w:r>
        <w:rPr>
          <w:rFonts w:hint="eastAsia" w:eastAsia="方正仿宋_GBK"/>
          <w:color w:val="000000" w:themeColor="text1"/>
          <w:spacing w:val="0"/>
          <w:sz w:val="32"/>
          <w:szCs w:val="32"/>
          <w:lang w:val="en-US"/>
          <w14:textFill>
            <w14:solidFill>
              <w14:schemeClr w14:val="tx1"/>
            </w14:solidFill>
          </w14:textFill>
        </w:rPr>
        <w:t>：</w:t>
      </w:r>
    </w:p>
    <w:p>
      <w:pPr>
        <w:pStyle w:val="18"/>
        <w:pageBreakBefore w:val="0"/>
        <w:numPr>
          <w:ilvl w:val="0"/>
          <w:numId w:val="3"/>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混合动力</w:t>
      </w:r>
      <w:r>
        <w:rPr>
          <w:rFonts w:hint="eastAsia" w:eastAsia="方正仿宋_GBK"/>
          <w:color w:val="000000" w:themeColor="text1"/>
          <w:spacing w:val="0"/>
          <w:sz w:val="32"/>
          <w:szCs w:val="32"/>
          <w:lang w:val="en-US"/>
          <w14:textFill>
            <w14:solidFill>
              <w14:schemeClr w14:val="tx1"/>
            </w14:solidFill>
          </w14:textFill>
        </w:rPr>
        <w:t>大马力</w:t>
      </w:r>
      <w:r>
        <w:rPr>
          <w:rFonts w:eastAsia="方正仿宋_GBK"/>
          <w:color w:val="000000" w:themeColor="text1"/>
          <w:spacing w:val="0"/>
          <w:sz w:val="32"/>
          <w:szCs w:val="32"/>
          <w:lang w:val="en-US"/>
          <w14:textFill>
            <w14:solidFill>
              <w14:schemeClr w14:val="tx1"/>
            </w14:solidFill>
          </w14:textFill>
        </w:rPr>
        <w:t>农用机械</w:t>
      </w:r>
      <w:r>
        <w:rPr>
          <w:rFonts w:hint="eastAsia" w:eastAsia="方正仿宋_GBK"/>
          <w:color w:val="000000" w:themeColor="text1"/>
          <w:spacing w:val="0"/>
          <w:sz w:val="32"/>
          <w:szCs w:val="32"/>
          <w:lang w:val="en-US"/>
          <w14:textFill>
            <w14:solidFill>
              <w14:schemeClr w14:val="tx1"/>
            </w14:solidFill>
          </w14:textFill>
        </w:rPr>
        <w:t>动力系统构型方案文本；</w:t>
      </w:r>
    </w:p>
    <w:p>
      <w:pPr>
        <w:pStyle w:val="18"/>
        <w:pageBreakBefore w:val="0"/>
        <w:numPr>
          <w:ilvl w:val="0"/>
          <w:numId w:val="3"/>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核心零部件模型及开发方案文本；</w:t>
      </w:r>
    </w:p>
    <w:p>
      <w:pPr>
        <w:pStyle w:val="18"/>
        <w:pageBreakBefore w:val="0"/>
        <w:numPr>
          <w:ilvl w:val="0"/>
          <w:numId w:val="3"/>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仿真建模源程序及仿真分析报告文本；</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4</w:t>
      </w:r>
      <w:r>
        <w:rPr>
          <w:rFonts w:eastAsia="方正仿宋_GBK"/>
          <w:color w:val="000000" w:themeColor="text1"/>
          <w:spacing w:val="0"/>
          <w:sz w:val="32"/>
          <w:szCs w:val="32"/>
          <w:lang w:val="en-US"/>
          <w14:textFill>
            <w14:solidFill>
              <w14:schemeClr w14:val="tx1"/>
            </w14:solidFill>
          </w14:textFill>
        </w:rPr>
        <w:t xml:space="preserve">. </w:t>
      </w:r>
      <w:r>
        <w:rPr>
          <w:rFonts w:hint="eastAsia" w:eastAsia="方正仿宋_GBK"/>
          <w:color w:val="000000" w:themeColor="text1"/>
          <w:spacing w:val="0"/>
          <w:sz w:val="32"/>
          <w:szCs w:val="32"/>
          <w:lang w:val="en-US"/>
          <w14:textFill>
            <w14:solidFill>
              <w14:schemeClr w14:val="tx1"/>
            </w14:solidFill>
          </w14:textFill>
        </w:rPr>
        <w:t>根据大赛整体时间安排并结合科研攻关的科学规律，</w:t>
      </w:r>
      <w:r>
        <w:rPr>
          <w:rFonts w:eastAsia="方正仿宋_GBK"/>
          <w:color w:val="000000" w:themeColor="text1"/>
          <w:spacing w:val="0"/>
          <w:sz w:val="32"/>
          <w:szCs w:val="32"/>
          <w:lang w:val="en-US"/>
          <w14:textFill>
            <w14:solidFill>
              <w14:schemeClr w14:val="tx1"/>
            </w14:solidFill>
          </w14:textFill>
        </w:rPr>
        <w:t>8</w:t>
      </w:r>
      <w:r>
        <w:rPr>
          <w:rFonts w:hint="eastAsia" w:eastAsia="方正仿宋_GBK"/>
          <w:color w:val="000000" w:themeColor="text1"/>
          <w:spacing w:val="0"/>
          <w:sz w:val="32"/>
          <w:szCs w:val="32"/>
          <w:lang w:val="en-US"/>
          <w14:textFill>
            <w14:solidFill>
              <w14:schemeClr w14:val="tx1"/>
            </w14:solidFill>
          </w14:textFill>
        </w:rPr>
        <w:t>月</w:t>
      </w:r>
      <w:r>
        <w:rPr>
          <w:rFonts w:eastAsia="方正仿宋_GBK"/>
          <w:color w:val="000000" w:themeColor="text1"/>
          <w:spacing w:val="0"/>
          <w:sz w:val="32"/>
          <w:szCs w:val="32"/>
          <w:lang w:val="en-US"/>
          <w14:textFill>
            <w14:solidFill>
              <w14:schemeClr w14:val="tx1"/>
            </w14:solidFill>
          </w14:textFill>
        </w:rPr>
        <w:t>15</w:t>
      </w:r>
      <w:r>
        <w:rPr>
          <w:rFonts w:hint="eastAsia" w:eastAsia="方正仿宋_GBK"/>
          <w:color w:val="000000" w:themeColor="text1"/>
          <w:spacing w:val="0"/>
          <w:sz w:val="32"/>
          <w:szCs w:val="32"/>
          <w:lang w:val="en-US"/>
          <w14:textFill>
            <w14:solidFill>
              <w14:schemeClr w14:val="tx1"/>
            </w14:solidFill>
          </w14:textFill>
        </w:rPr>
        <w:t>日前，各参赛团队提交作品。</w:t>
      </w:r>
    </w:p>
    <w:p>
      <w:pPr>
        <w:pStyle w:val="3"/>
        <w:pageBreakBefore w:val="0"/>
        <w:kinsoku/>
        <w:wordWrap/>
        <w:overflowPunct/>
        <w:topLinePunct w:val="0"/>
        <w:autoSpaceDE/>
        <w:autoSpaceDN/>
        <w:bidi w:val="0"/>
        <w:ind w:left="0" w:firstLine="640" w:firstLineChars="200"/>
        <w:textAlignment w:val="auto"/>
        <w:rPr>
          <w:spacing w:val="0"/>
          <w:lang w:val="en-US"/>
        </w:rPr>
      </w:pPr>
      <w:r>
        <w:rPr>
          <w:rFonts w:hint="eastAsia"/>
          <w:spacing w:val="0"/>
          <w:lang w:val="en-US"/>
        </w:rPr>
        <w:t>作品评选标准</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根据上述答题要求对参赛作品进行打分，作品总分包括设计方案文本评分、技术指标评分和附加分，其中设计方案文本评分</w:t>
      </w:r>
      <w:r>
        <w:rPr>
          <w:rFonts w:eastAsia="方正仿宋_GBK"/>
          <w:color w:val="000000" w:themeColor="text1"/>
          <w:spacing w:val="0"/>
          <w:sz w:val="32"/>
          <w:szCs w:val="32"/>
          <w:lang w:val="en-US"/>
          <w14:textFill>
            <w14:solidFill>
              <w14:schemeClr w14:val="tx1"/>
            </w14:solidFill>
          </w14:textFill>
        </w:rPr>
        <w:t>40</w:t>
      </w:r>
      <w:r>
        <w:rPr>
          <w:rFonts w:hint="eastAsia" w:eastAsia="方正仿宋_GBK"/>
          <w:color w:val="000000" w:themeColor="text1"/>
          <w:spacing w:val="0"/>
          <w:sz w:val="32"/>
          <w:szCs w:val="32"/>
          <w:lang w:val="en-US"/>
          <w14:textFill>
            <w14:solidFill>
              <w14:schemeClr w14:val="tx1"/>
            </w14:solidFill>
          </w14:textFill>
        </w:rPr>
        <w:t>分，技术指标评分</w:t>
      </w:r>
      <w:r>
        <w:rPr>
          <w:rFonts w:eastAsia="方正仿宋_GBK"/>
          <w:color w:val="000000" w:themeColor="text1"/>
          <w:spacing w:val="0"/>
          <w:sz w:val="32"/>
          <w:szCs w:val="32"/>
          <w:lang w:val="en-US"/>
          <w14:textFill>
            <w14:solidFill>
              <w14:schemeClr w14:val="tx1"/>
            </w14:solidFill>
          </w14:textFill>
        </w:rPr>
        <w:t>60</w:t>
      </w:r>
      <w:r>
        <w:rPr>
          <w:rFonts w:hint="eastAsia" w:eastAsia="方正仿宋_GBK"/>
          <w:color w:val="000000" w:themeColor="text1"/>
          <w:spacing w:val="0"/>
          <w:sz w:val="32"/>
          <w:szCs w:val="32"/>
          <w:lang w:val="en-US"/>
          <w14:textFill>
            <w14:solidFill>
              <w14:schemeClr w14:val="tx1"/>
            </w14:solidFill>
          </w14:textFill>
        </w:rPr>
        <w:t>分，附加分按仿真试验测试结果的优劣程度判定。</w:t>
      </w:r>
    </w:p>
    <w:p>
      <w:pPr>
        <w:pStyle w:val="4"/>
        <w:pageBreakBefore w:val="0"/>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hint="eastAsia" w:ascii="Times New Roman" w:hAnsi="Times New Roman" w:eastAsia="方正楷体_GBK"/>
          <w:color w:val="000000" w:themeColor="text1"/>
          <w:spacing w:val="0"/>
          <w:lang w:val="en-US"/>
          <w14:textFill>
            <w14:solidFill>
              <w14:schemeClr w14:val="tx1"/>
            </w14:solidFill>
          </w14:textFill>
        </w:rPr>
        <w:t>设计文本方案评分</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主要从作品的研究思路、技术路线、工程性、准确性四个维度对设计方案文本进行综合评价，各维度所占分值情况如下：</w:t>
      </w:r>
    </w:p>
    <w:p>
      <w:pPr>
        <w:pageBreakBefore w:val="0"/>
        <w:numPr>
          <w:ilvl w:val="0"/>
          <w:numId w:val="4"/>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研究思路合理性（分值：</w:t>
      </w:r>
      <w:r>
        <w:rPr>
          <w:rFonts w:eastAsia="方正仿宋_GBK"/>
          <w:color w:val="000000" w:themeColor="text1"/>
          <w:spacing w:val="0"/>
          <w:sz w:val="32"/>
          <w:szCs w:val="32"/>
          <w:lang w:val="en-US"/>
          <w14:textFill>
            <w14:solidFill>
              <w14:schemeClr w14:val="tx1"/>
            </w14:solidFill>
          </w14:textFill>
        </w:rPr>
        <w:t>10</w:t>
      </w:r>
      <w:r>
        <w:rPr>
          <w:rFonts w:hint="eastAsia" w:eastAsia="方正仿宋_GBK"/>
          <w:color w:val="000000" w:themeColor="text1"/>
          <w:spacing w:val="0"/>
          <w:sz w:val="32"/>
          <w:szCs w:val="32"/>
          <w:lang w:val="en-US"/>
          <w14:textFill>
            <w14:solidFill>
              <w14:schemeClr w14:val="tx1"/>
            </w14:solidFill>
          </w14:textFill>
        </w:rPr>
        <w:t>分）</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4"/>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技术路线可行性（分值：</w:t>
      </w:r>
      <w:r>
        <w:rPr>
          <w:rFonts w:eastAsia="方正仿宋_GBK"/>
          <w:color w:val="000000" w:themeColor="text1"/>
          <w:spacing w:val="0"/>
          <w:sz w:val="32"/>
          <w:szCs w:val="32"/>
          <w:lang w:val="en-US"/>
          <w14:textFill>
            <w14:solidFill>
              <w14:schemeClr w14:val="tx1"/>
            </w14:solidFill>
          </w14:textFill>
        </w:rPr>
        <w:t>10</w:t>
      </w:r>
      <w:r>
        <w:rPr>
          <w:rFonts w:hint="eastAsia" w:eastAsia="方正仿宋_GBK"/>
          <w:color w:val="000000" w:themeColor="text1"/>
          <w:spacing w:val="0"/>
          <w:sz w:val="32"/>
          <w:szCs w:val="32"/>
          <w:lang w:val="en-US"/>
          <w14:textFill>
            <w14:solidFill>
              <w14:schemeClr w14:val="tx1"/>
            </w14:solidFill>
          </w14:textFill>
        </w:rPr>
        <w:t>分）</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4"/>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工程可实现性（分值：</w:t>
      </w:r>
      <w:r>
        <w:rPr>
          <w:rFonts w:eastAsia="方正仿宋_GBK"/>
          <w:color w:val="000000" w:themeColor="text1"/>
          <w:spacing w:val="0"/>
          <w:sz w:val="32"/>
          <w:szCs w:val="32"/>
          <w:lang w:val="en-US"/>
          <w14:textFill>
            <w14:solidFill>
              <w14:schemeClr w14:val="tx1"/>
            </w14:solidFill>
          </w14:textFill>
        </w:rPr>
        <w:t>10</w:t>
      </w:r>
      <w:r>
        <w:rPr>
          <w:rFonts w:hint="eastAsia" w:eastAsia="方正仿宋_GBK"/>
          <w:color w:val="000000" w:themeColor="text1"/>
          <w:spacing w:val="0"/>
          <w:sz w:val="32"/>
          <w:szCs w:val="32"/>
          <w:lang w:val="en-US"/>
          <w14:textFill>
            <w14:solidFill>
              <w14:schemeClr w14:val="tx1"/>
            </w14:solidFill>
          </w14:textFill>
        </w:rPr>
        <w:t>分）；</w:t>
      </w:r>
    </w:p>
    <w:p>
      <w:pPr>
        <w:pageBreakBefore w:val="0"/>
        <w:numPr>
          <w:ilvl w:val="0"/>
          <w:numId w:val="4"/>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模型与计算结果准确性（分值：</w:t>
      </w:r>
      <w:r>
        <w:rPr>
          <w:rFonts w:eastAsia="方正仿宋_GBK"/>
          <w:color w:val="000000" w:themeColor="text1"/>
          <w:spacing w:val="0"/>
          <w:sz w:val="32"/>
          <w:szCs w:val="32"/>
          <w:lang w:val="en-US"/>
          <w14:textFill>
            <w14:solidFill>
              <w14:schemeClr w14:val="tx1"/>
            </w14:solidFill>
          </w14:textFill>
        </w:rPr>
        <w:t>10</w:t>
      </w:r>
      <w:r>
        <w:rPr>
          <w:rFonts w:hint="eastAsia" w:eastAsia="方正仿宋_GBK"/>
          <w:color w:val="000000" w:themeColor="text1"/>
          <w:spacing w:val="0"/>
          <w:sz w:val="32"/>
          <w:szCs w:val="32"/>
          <w:lang w:val="en-US"/>
          <w14:textFill>
            <w14:solidFill>
              <w14:schemeClr w14:val="tx1"/>
            </w14:solidFill>
          </w14:textFill>
        </w:rPr>
        <w:t>分）；</w:t>
      </w:r>
    </w:p>
    <w:p>
      <w:pPr>
        <w:pStyle w:val="4"/>
        <w:pageBreakBefore w:val="0"/>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hint="eastAsia" w:ascii="Times New Roman" w:hAnsi="Times New Roman" w:eastAsia="方正楷体_GBK"/>
          <w:color w:val="000000" w:themeColor="text1"/>
          <w:spacing w:val="0"/>
          <w:lang w:val="en-US"/>
          <w14:textFill>
            <w14:solidFill>
              <w14:schemeClr w14:val="tx1"/>
            </w14:solidFill>
          </w14:textFill>
        </w:rPr>
        <w:t>技术指标评分</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模型通过仿真测试后，得到的各农用机械性能指标实现情况。</w:t>
      </w:r>
    </w:p>
    <w:p>
      <w:pPr>
        <w:pageBreakBefore w:val="0"/>
        <w:numPr>
          <w:ilvl w:val="0"/>
          <w:numId w:val="5"/>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整机动力性（分值：</w:t>
      </w:r>
      <w:r>
        <w:rPr>
          <w:rFonts w:eastAsia="方正仿宋_GBK"/>
          <w:color w:val="000000" w:themeColor="text1"/>
          <w:spacing w:val="0"/>
          <w:sz w:val="32"/>
          <w:szCs w:val="32"/>
          <w:lang w:val="en-US"/>
          <w14:textFill>
            <w14:solidFill>
              <w14:schemeClr w14:val="tx1"/>
            </w14:solidFill>
          </w14:textFill>
        </w:rPr>
        <w:t>20</w:t>
      </w:r>
      <w:r>
        <w:rPr>
          <w:rFonts w:hint="eastAsia" w:eastAsia="方正仿宋_GBK"/>
          <w:color w:val="000000" w:themeColor="text1"/>
          <w:spacing w:val="0"/>
          <w:sz w:val="32"/>
          <w:szCs w:val="32"/>
          <w:lang w:val="en-US"/>
          <w14:textFill>
            <w14:solidFill>
              <w14:schemeClr w14:val="tx1"/>
            </w14:solidFill>
          </w14:textFill>
        </w:rPr>
        <w:t>分）；</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整机马力超过200马力，能够满足各种田地作业需求。</w:t>
      </w:r>
    </w:p>
    <w:p>
      <w:pPr>
        <w:pageBreakBefore w:val="0"/>
        <w:numPr>
          <w:ilvl w:val="0"/>
          <w:numId w:val="5"/>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整机燃油经济性（分值：</w:t>
      </w:r>
      <w:r>
        <w:rPr>
          <w:rFonts w:eastAsia="方正仿宋_GBK"/>
          <w:color w:val="000000" w:themeColor="text1"/>
          <w:spacing w:val="0"/>
          <w:sz w:val="32"/>
          <w:szCs w:val="32"/>
          <w:lang w:val="en-US"/>
          <w14:textFill>
            <w14:solidFill>
              <w14:schemeClr w14:val="tx1"/>
            </w14:solidFill>
          </w14:textFill>
        </w:rPr>
        <w:t>20</w:t>
      </w:r>
      <w:r>
        <w:rPr>
          <w:rFonts w:hint="eastAsia" w:eastAsia="方正仿宋_GBK"/>
          <w:color w:val="000000" w:themeColor="text1"/>
          <w:spacing w:val="0"/>
          <w:sz w:val="32"/>
          <w:szCs w:val="32"/>
          <w:lang w:val="en-US"/>
          <w14:textFill>
            <w14:solidFill>
              <w14:schemeClr w14:val="tx1"/>
            </w14:solidFill>
          </w14:textFill>
        </w:rPr>
        <w:t>分）；</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对比现有的同马力段传统燃油农用机械产品，综合油耗表现需节油8%以上。</w:t>
      </w:r>
    </w:p>
    <w:p>
      <w:pPr>
        <w:pageBreakBefore w:val="0"/>
        <w:numPr>
          <w:ilvl w:val="0"/>
          <w:numId w:val="5"/>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传动效率（分值：</w:t>
      </w:r>
      <w:r>
        <w:rPr>
          <w:rFonts w:eastAsia="方正仿宋_GBK"/>
          <w:color w:val="000000" w:themeColor="text1"/>
          <w:spacing w:val="0"/>
          <w:sz w:val="32"/>
          <w:szCs w:val="32"/>
          <w:lang w:val="en-US"/>
          <w14:textFill>
            <w14:solidFill>
              <w14:schemeClr w14:val="tx1"/>
            </w14:solidFill>
          </w14:textFill>
        </w:rPr>
        <w:t>10</w:t>
      </w:r>
      <w:r>
        <w:rPr>
          <w:rFonts w:hint="eastAsia" w:eastAsia="方正仿宋_GBK"/>
          <w:color w:val="000000" w:themeColor="text1"/>
          <w:spacing w:val="0"/>
          <w:sz w:val="32"/>
          <w:szCs w:val="32"/>
          <w:lang w:val="en-US"/>
          <w14:textFill>
            <w14:solidFill>
              <w14:schemeClr w14:val="tx1"/>
            </w14:solidFill>
          </w14:textFill>
        </w:rPr>
        <w:t>分）；</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整机传动系的传动效率在85%以上。</w:t>
      </w:r>
    </w:p>
    <w:p>
      <w:pPr>
        <w:pageBreakBefore w:val="0"/>
        <w:numPr>
          <w:ilvl w:val="0"/>
          <w:numId w:val="5"/>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作业效率（分值：</w:t>
      </w:r>
      <w:r>
        <w:rPr>
          <w:rFonts w:eastAsia="方正仿宋_GBK"/>
          <w:color w:val="000000" w:themeColor="text1"/>
          <w:spacing w:val="0"/>
          <w:sz w:val="32"/>
          <w:szCs w:val="32"/>
          <w:lang w:val="en-US"/>
          <w14:textFill>
            <w14:solidFill>
              <w14:schemeClr w14:val="tx1"/>
            </w14:solidFill>
          </w14:textFill>
        </w:rPr>
        <w:t>10</w:t>
      </w:r>
      <w:r>
        <w:rPr>
          <w:rFonts w:hint="eastAsia" w:eastAsia="方正仿宋_GBK"/>
          <w:color w:val="000000" w:themeColor="text1"/>
          <w:spacing w:val="0"/>
          <w:sz w:val="32"/>
          <w:szCs w:val="32"/>
          <w:lang w:val="en-US"/>
          <w14:textFill>
            <w14:solidFill>
              <w14:schemeClr w14:val="tx1"/>
            </w14:solidFill>
          </w14:textFill>
        </w:rPr>
        <w:t>分）；</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对比现有的同马力段机械有级调速、动力换挡、液压无级变速等农用机械产品，作业效率需提升10%以上。</w:t>
      </w:r>
    </w:p>
    <w:p>
      <w:pPr>
        <w:pStyle w:val="4"/>
        <w:pageBreakBefore w:val="0"/>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hint="eastAsia" w:ascii="Times New Roman" w:hAnsi="Times New Roman" w:eastAsia="方正楷体_GBK"/>
          <w:color w:val="000000" w:themeColor="text1"/>
          <w:spacing w:val="0"/>
          <w:lang w:val="en-US"/>
          <w14:textFill>
            <w14:solidFill>
              <w14:schemeClr w14:val="tx1"/>
            </w14:solidFill>
          </w14:textFill>
        </w:rPr>
        <w:t>附加分</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根据仿真测试各项性能指标的综合表现额外加</w:t>
      </w:r>
      <w:r>
        <w:rPr>
          <w:rFonts w:eastAsia="方正仿宋_GBK"/>
          <w:color w:val="000000" w:themeColor="text1"/>
          <w:spacing w:val="0"/>
          <w:sz w:val="32"/>
          <w:szCs w:val="32"/>
          <w:lang w:val="en-US"/>
          <w14:textFill>
            <w14:solidFill>
              <w14:schemeClr w14:val="tx1"/>
            </w14:solidFill>
          </w14:textFill>
        </w:rPr>
        <w:t>1-10</w:t>
      </w:r>
      <w:r>
        <w:rPr>
          <w:rFonts w:hint="eastAsia" w:eastAsia="方正仿宋_GBK"/>
          <w:color w:val="000000" w:themeColor="text1"/>
          <w:spacing w:val="0"/>
          <w:sz w:val="32"/>
          <w:szCs w:val="32"/>
          <w:lang w:val="en-US"/>
          <w14:textFill>
            <w14:solidFill>
              <w14:schemeClr w14:val="tx1"/>
            </w14:solidFill>
          </w14:textFill>
        </w:rPr>
        <w:t>分。</w:t>
      </w:r>
    </w:p>
    <w:p>
      <w:pPr>
        <w:pStyle w:val="3"/>
        <w:pageBreakBefore w:val="0"/>
        <w:kinsoku/>
        <w:wordWrap/>
        <w:overflowPunct/>
        <w:topLinePunct w:val="0"/>
        <w:autoSpaceDE/>
        <w:autoSpaceDN/>
        <w:bidi w:val="0"/>
        <w:ind w:left="0" w:firstLine="640" w:firstLineChars="200"/>
        <w:textAlignment w:val="auto"/>
        <w:rPr>
          <w:rFonts w:hint="eastAsia"/>
          <w:spacing w:val="0"/>
          <w:lang w:val="en-US"/>
        </w:rPr>
      </w:pPr>
      <w:r>
        <w:rPr>
          <w:rFonts w:hint="eastAsia"/>
          <w:spacing w:val="0"/>
          <w:lang w:val="en-US"/>
        </w:rPr>
        <w:t>作品提交时间</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2024年</w:t>
      </w:r>
      <w:r>
        <w:rPr>
          <w:rFonts w:hint="eastAsia" w:eastAsia="方正仿宋_GBK"/>
          <w:color w:val="000000" w:themeColor="text1"/>
          <w:spacing w:val="0"/>
          <w:sz w:val="32"/>
          <w:szCs w:val="32"/>
          <w:lang w:val="en-US" w:eastAsia="zh-CN"/>
          <w14:textFill>
            <w14:solidFill>
              <w14:schemeClr w14:val="tx1"/>
            </w14:solidFill>
          </w14:textFill>
        </w:rPr>
        <w:t>4</w:t>
      </w:r>
      <w:r>
        <w:rPr>
          <w:rFonts w:eastAsia="方正仿宋_GBK"/>
          <w:color w:val="000000" w:themeColor="text1"/>
          <w:spacing w:val="0"/>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挑战杯</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竞赛组织协调机构要积极组织学生参赛，安排有关老师给予指导，为参赛团队提供支持保障；</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8月15日前，各参赛团队向组委会提交作品，具体提交要求详见作品提交方式。</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2024年8月，组委会和出题方共同开展初审，确定入围终审的晋级作品和团队。</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2024年9月，每个选题晋级团队完善作品，出题方安排专门团队提供帮助和指导，冲刺攻关参加终审和</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擂台赛</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。本选题终审环节分别评出</w:t>
      </w:r>
      <w:r>
        <w:rPr>
          <w:rFonts w:eastAsia="方正仿宋_GBK"/>
          <w:color w:val="000000" w:themeColor="text1"/>
          <w:spacing w:val="0"/>
          <w:sz w:val="32"/>
          <w:szCs w:val="32"/>
          <w:lang w:val="en-US"/>
          <w14:textFill>
            <w14:solidFill>
              <w14:schemeClr w14:val="tx1"/>
            </w14:solidFill>
          </w14:textFill>
        </w:rPr>
        <w:t>特等奖、一等奖、二等奖、三等奖各5个</w:t>
      </w:r>
      <w:r>
        <w:rPr>
          <w:rFonts w:hint="eastAsia" w:eastAsia="方正仿宋_GBK"/>
          <w:color w:val="000000" w:themeColor="text1"/>
          <w:spacing w:val="0"/>
          <w:sz w:val="32"/>
          <w:szCs w:val="32"/>
          <w:lang w:val="en-US"/>
          <w14:textFill>
            <w14:solidFill>
              <w14:schemeClr w14:val="tx1"/>
            </w14:solidFill>
          </w14:textFill>
        </w:rPr>
        <w:t>。获得特等奖的团队晋级最终</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擂台赛</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，并进行现场展示和答辩，</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擂台赛</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环节评出1个</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擂主</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。出题方与</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擂主</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团队现场签约并给予奖励。</w:t>
      </w:r>
    </w:p>
    <w:p>
      <w:pPr>
        <w:pStyle w:val="3"/>
        <w:pageBreakBefore w:val="0"/>
        <w:kinsoku/>
        <w:wordWrap/>
        <w:overflowPunct/>
        <w:topLinePunct w:val="0"/>
        <w:autoSpaceDE/>
        <w:autoSpaceDN/>
        <w:bidi w:val="0"/>
        <w:ind w:left="0" w:firstLine="640" w:firstLineChars="200"/>
        <w:textAlignment w:val="auto"/>
        <w:rPr>
          <w:rFonts w:hint="eastAsia"/>
          <w:spacing w:val="0"/>
          <w:lang w:val="en-US"/>
        </w:rPr>
      </w:pPr>
      <w:r>
        <w:rPr>
          <w:rFonts w:hint="eastAsia"/>
          <w:spacing w:val="0"/>
          <w:lang w:val="en-US"/>
        </w:rPr>
        <w:t>参赛报名及作品提交方式</w:t>
      </w:r>
    </w:p>
    <w:p>
      <w:pPr>
        <w:pStyle w:val="4"/>
        <w:pageBreakBefore w:val="0"/>
        <w:numPr>
          <w:ilvl w:val="0"/>
          <w:numId w:val="0"/>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hint="eastAsia" w:ascii="Times New Roman" w:hAnsi="Times New Roman" w:eastAsia="方正楷体_GBK"/>
          <w:color w:val="000000" w:themeColor="text1"/>
          <w:spacing w:val="0"/>
          <w:lang w:val="en-US"/>
          <w14:textFill>
            <w14:solidFill>
              <w14:schemeClr w14:val="tx1"/>
            </w14:solidFill>
          </w14:textFill>
        </w:rPr>
        <w:t>1. 网上报名方式</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numPr>
          <w:ilvl w:val="0"/>
          <w:numId w:val="0"/>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hint="eastAsia" w:ascii="Times New Roman" w:hAnsi="Times New Roman" w:eastAsia="方正楷体_GBK"/>
          <w:color w:val="000000" w:themeColor="text1"/>
          <w:spacing w:val="0"/>
          <w:lang w:val="en-US"/>
          <w14:textFill>
            <w14:solidFill>
              <w14:schemeClr w14:val="tx1"/>
            </w14:solidFill>
          </w14:textFill>
        </w:rPr>
        <w:t>2. 具体作品提交方式</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14:textFill>
            <w14:solidFill>
              <w14:schemeClr w14:val="tx1"/>
            </w14:solidFill>
          </w14:textFill>
        </w:rPr>
      </w:pPr>
      <w:r>
        <w:rPr>
          <w:rFonts w:eastAsia="方正仿宋_GBK"/>
          <w:color w:val="000000" w:themeColor="text1"/>
          <w:spacing w:val="0"/>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14:textFill>
            <w14:solidFill>
              <w14:schemeClr w14:val="tx1"/>
            </w14:solidFill>
          </w14:textFill>
        </w:rPr>
      </w:pPr>
      <w:r>
        <w:rPr>
          <w:rFonts w:eastAsia="方正仿宋_GBK"/>
          <w:color w:val="000000" w:themeColor="text1"/>
          <w:spacing w:val="0"/>
          <w:sz w:val="32"/>
          <w:szCs w:val="32"/>
          <w14:textFill>
            <w14:solidFill>
              <w14:schemeClr w14:val="tx1"/>
            </w14:solidFill>
          </w14:textFill>
        </w:rPr>
        <w:t>具体作品电子版：PDF版本（含加盖红章）、word版本的电子版与其他材料文档整理为一个压缩包，文件名统一为：参赛单位名称+团队负责人姓名+手机号+团队名称（例如：XX大学+李XX+137XXXXXXXX+XX战队），</w:t>
      </w:r>
      <w:r>
        <w:rPr>
          <w:rFonts w:hint="eastAsia" w:eastAsia="方正仿宋_GBK"/>
          <w:color w:val="000000" w:themeColor="text1"/>
          <w:spacing w:val="0"/>
          <w:sz w:val="32"/>
          <w:szCs w:val="32"/>
          <w14:textFill>
            <w14:solidFill>
              <w14:schemeClr w14:val="tx1"/>
            </w14:solidFill>
          </w14:textFill>
        </w:rPr>
        <w:t>与上述</w:t>
      </w:r>
      <w:r>
        <w:rPr>
          <w:rFonts w:hint="eastAsia" w:eastAsia="方正仿宋_GBK"/>
          <w:color w:val="000000" w:themeColor="text1"/>
          <w:spacing w:val="0"/>
          <w:sz w:val="32"/>
          <w:szCs w:val="32"/>
          <w:lang w:val="en-US"/>
          <w14:textFill>
            <w14:solidFill>
              <w14:schemeClr w14:val="tx1"/>
            </w14:solidFill>
          </w14:textFill>
        </w:rPr>
        <w:t>参赛</w:t>
      </w:r>
      <w:r>
        <w:rPr>
          <w:rFonts w:eastAsia="方正仿宋_GBK"/>
          <w:color w:val="000000" w:themeColor="text1"/>
          <w:spacing w:val="0"/>
          <w:sz w:val="32"/>
          <w:szCs w:val="32"/>
          <w14:textFill>
            <w14:solidFill>
              <w14:schemeClr w14:val="tx1"/>
            </w14:solidFill>
          </w14:textFill>
        </w:rPr>
        <w:t>报名表</w:t>
      </w:r>
      <w:r>
        <w:rPr>
          <w:rFonts w:hint="eastAsia" w:eastAsia="方正仿宋_GBK"/>
          <w:color w:val="000000" w:themeColor="text1"/>
          <w:spacing w:val="0"/>
          <w:sz w:val="32"/>
          <w:szCs w:val="32"/>
          <w14:textFill>
            <w14:solidFill>
              <w14:schemeClr w14:val="tx1"/>
            </w14:solidFill>
          </w14:textFill>
        </w:rPr>
        <w:t>电子版一同</w:t>
      </w:r>
      <w:r>
        <w:rPr>
          <w:rFonts w:eastAsia="方正仿宋_GBK"/>
          <w:color w:val="000000" w:themeColor="text1"/>
          <w:spacing w:val="0"/>
          <w:sz w:val="32"/>
          <w:szCs w:val="32"/>
          <w14:textFill>
            <w14:solidFill>
              <w14:schemeClr w14:val="tx1"/>
            </w14:solidFill>
          </w14:textFill>
        </w:rPr>
        <w:t>发送到邮箱 huangyoulin@yuchai.cn。</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14:textFill>
            <w14:solidFill>
              <w14:schemeClr w14:val="tx1"/>
            </w14:solidFill>
          </w14:textFill>
        </w:rPr>
      </w:pPr>
      <w:r>
        <w:rPr>
          <w:rFonts w:eastAsia="方正仿宋_GBK"/>
          <w:color w:val="000000" w:themeColor="text1"/>
          <w:spacing w:val="0"/>
          <w:sz w:val="32"/>
          <w:szCs w:val="32"/>
          <w14:textFill>
            <w14:solidFill>
              <w14:schemeClr w14:val="tx1"/>
            </w14:solidFill>
          </w14:textFill>
        </w:rPr>
        <w:t>具体作品纸质版：纸质版原件（含加盖红章）</w:t>
      </w:r>
      <w:r>
        <w:rPr>
          <w:rFonts w:hint="eastAsia" w:eastAsia="方正仿宋_GBK"/>
          <w:color w:val="000000" w:themeColor="text1"/>
          <w:spacing w:val="0"/>
          <w:sz w:val="32"/>
          <w:szCs w:val="32"/>
          <w14:textFill>
            <w14:solidFill>
              <w14:schemeClr w14:val="tx1"/>
            </w14:solidFill>
          </w14:textFill>
        </w:rPr>
        <w:t>与上述</w:t>
      </w:r>
      <w:r>
        <w:rPr>
          <w:rFonts w:hint="eastAsia" w:eastAsia="方正仿宋_GBK"/>
          <w:color w:val="000000" w:themeColor="text1"/>
          <w:spacing w:val="0"/>
          <w:sz w:val="32"/>
          <w:szCs w:val="32"/>
          <w:lang w:val="en-US"/>
          <w14:textFill>
            <w14:solidFill>
              <w14:schemeClr w14:val="tx1"/>
            </w14:solidFill>
          </w14:textFill>
        </w:rPr>
        <w:t>参赛</w:t>
      </w:r>
      <w:r>
        <w:rPr>
          <w:rFonts w:eastAsia="方正仿宋_GBK"/>
          <w:color w:val="000000" w:themeColor="text1"/>
          <w:spacing w:val="0"/>
          <w:sz w:val="32"/>
          <w:szCs w:val="32"/>
          <w14:textFill>
            <w14:solidFill>
              <w14:schemeClr w14:val="tx1"/>
            </w14:solidFill>
          </w14:textFill>
        </w:rPr>
        <w:t>报名表</w:t>
      </w:r>
      <w:r>
        <w:rPr>
          <w:rFonts w:hint="eastAsia" w:eastAsia="方正仿宋_GBK"/>
          <w:color w:val="000000" w:themeColor="text1"/>
          <w:spacing w:val="0"/>
          <w:sz w:val="32"/>
          <w:szCs w:val="32"/>
          <w14:textFill>
            <w14:solidFill>
              <w14:schemeClr w14:val="tx1"/>
            </w14:solidFill>
          </w14:textFill>
        </w:rPr>
        <w:t>纸质版均</w:t>
      </w:r>
      <w:r>
        <w:rPr>
          <w:rFonts w:eastAsia="方正仿宋_GBK"/>
          <w:color w:val="000000" w:themeColor="text1"/>
          <w:spacing w:val="0"/>
          <w:sz w:val="32"/>
          <w:szCs w:val="32"/>
          <w14:textFill>
            <w14:solidFill>
              <w14:schemeClr w14:val="tx1"/>
            </w14:solidFill>
          </w14:textFill>
        </w:rPr>
        <w:t>1式2份邮寄至：广西壮族自治区玉林市玉州区天桥西路88号，黄老师，17307754949。</w:t>
      </w:r>
    </w:p>
    <w:p>
      <w:pPr>
        <w:pStyle w:val="3"/>
        <w:pageBreakBefore w:val="0"/>
        <w:kinsoku/>
        <w:wordWrap/>
        <w:overflowPunct/>
        <w:topLinePunct w:val="0"/>
        <w:autoSpaceDE/>
        <w:autoSpaceDN/>
        <w:bidi w:val="0"/>
        <w:ind w:left="0" w:firstLine="640" w:firstLineChars="200"/>
        <w:textAlignment w:val="auto"/>
        <w:rPr>
          <w:rFonts w:hint="eastAsia"/>
          <w:spacing w:val="0"/>
          <w:lang w:val="en-US"/>
        </w:rPr>
      </w:pPr>
      <w:r>
        <w:rPr>
          <w:rFonts w:hint="eastAsia"/>
          <w:spacing w:val="0"/>
          <w:lang w:val="en-US"/>
        </w:rPr>
        <w:t>赛事保障</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对于参加本项目的参赛团队，本单位可以根据团队的实际需求，在参观交流、相关资料（不涉密）、专业指导以及其他项目必须条件等方面提供帮助。</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本单位可为参赛团队提供研究所需计算、仿真、试验软硬件资源。</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本单位在参赛团队完成相关审核等程序后可提供参观应用现场的机会。</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本单位将为此次比赛组建专业指导团队，指导团队将由出题单位专家组成，或根据选手的专业特点指派指导老师，同时为了保证在项目相关资料等问题方面给予团队及时的帮助，团队还将为每个参赛团队指定一名辅导老师，辅导老师由本单位专业技术人员组成，并在参赛团队完成报名后予以明确。</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赛事办公室设在广西玉柴机器股份有限公司，参赛过程中，参赛团队如需本单位提供与项目相关的其他必须帮助，请提前与赛事办公室联系，我们将在许可范围内给予参赛团队帮助。</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联系人：比赛专班赛务组 蒙老师，电话:18775519582。</w:t>
      </w:r>
    </w:p>
    <w:p>
      <w:pPr>
        <w:pStyle w:val="3"/>
        <w:pageBreakBefore w:val="0"/>
        <w:kinsoku/>
        <w:wordWrap/>
        <w:overflowPunct/>
        <w:topLinePunct w:val="0"/>
        <w:autoSpaceDE/>
        <w:autoSpaceDN/>
        <w:bidi w:val="0"/>
        <w:ind w:left="0" w:firstLine="640" w:firstLineChars="200"/>
        <w:textAlignment w:val="auto"/>
        <w:rPr>
          <w:rFonts w:hint="eastAsia"/>
          <w:spacing w:val="0"/>
          <w:lang w:val="en-US"/>
        </w:rPr>
      </w:pPr>
      <w:r>
        <w:rPr>
          <w:rFonts w:hint="eastAsia"/>
          <w:spacing w:val="0"/>
          <w:lang w:val="en-US"/>
        </w:rPr>
        <w:t>设奖情况及奖励措施</w:t>
      </w:r>
    </w:p>
    <w:p>
      <w:pPr>
        <w:pStyle w:val="4"/>
        <w:pageBreakBefore w:val="0"/>
        <w:numPr>
          <w:ilvl w:val="0"/>
          <w:numId w:val="6"/>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设奖情况</w:t>
      </w:r>
    </w:p>
    <w:p>
      <w:pPr>
        <w:pageBreakBefore w:val="0"/>
        <w:kinsoku/>
        <w:wordWrap/>
        <w:overflowPunct/>
        <w:topLinePunct w:val="0"/>
        <w:autoSpaceDE/>
        <w:autoSpaceDN/>
        <w:bidi w:val="0"/>
        <w:spacing w:line="560" w:lineRule="exact"/>
        <w:ind w:left="0" w:firstLine="640" w:firstLineChars="200"/>
        <w:jc w:val="both"/>
        <w:textAlignment w:val="auto"/>
        <w:rPr>
          <w:rFonts w:hint="eastAsia" w:eastAsia="方正仿宋_GBK"/>
          <w:color w:val="000000" w:themeColor="text1"/>
          <w:spacing w:val="0"/>
          <w:sz w:val="32"/>
          <w:szCs w:val="32"/>
          <w:highlight w:val="yellow"/>
          <w:lang w:val="en-US" w:eastAsia="zh-CN"/>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根据评分规则，综合评定参赛队伍。设特等奖、一等奖、二等奖、三等奖各5个。特等奖团队晋级</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擂台赛</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，决出一个</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擂主</w:t>
      </w:r>
      <w:r>
        <w:rPr>
          <w:rFonts w:hint="eastAsia" w:eastAsia="方正仿宋_GBK"/>
          <w:color w:val="000000" w:themeColor="text1"/>
          <w:spacing w:val="0"/>
          <w:sz w:val="32"/>
          <w:szCs w:val="32"/>
          <w:lang w:val="en-US" w:eastAsia="zh-CN"/>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w:t>
      </w:r>
    </w:p>
    <w:p>
      <w:pPr>
        <w:pStyle w:val="4"/>
        <w:pageBreakBefore w:val="0"/>
        <w:numPr>
          <w:ilvl w:val="0"/>
          <w:numId w:val="6"/>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奖励措施</w:t>
      </w:r>
    </w:p>
    <w:p>
      <w:pPr>
        <w:pageBreakBefore w:val="0"/>
        <w:kinsoku/>
        <w:wordWrap/>
        <w:overflowPunct/>
        <w:topLinePunct w:val="0"/>
        <w:autoSpaceDE/>
        <w:autoSpaceDN/>
        <w:bidi w:val="0"/>
        <w:adjustRightInd w:val="0"/>
        <w:snapToGrid w:val="0"/>
        <w:spacing w:line="560" w:lineRule="exact"/>
        <w:ind w:left="0" w:firstLine="640" w:firstLineChars="200"/>
        <w:jc w:val="both"/>
        <w:textAlignment w:val="auto"/>
        <w:rPr>
          <w:rFonts w:eastAsia="方正仿宋_GBK"/>
          <w:color w:val="000000"/>
          <w:spacing w:val="0"/>
          <w:sz w:val="32"/>
          <w:szCs w:val="32"/>
        </w:rPr>
      </w:pPr>
      <w:r>
        <w:rPr>
          <w:rFonts w:eastAsia="方正仿宋_GBK"/>
          <w:color w:val="000000"/>
          <w:spacing w:val="0"/>
          <w:sz w:val="32"/>
          <w:szCs w:val="32"/>
        </w:rPr>
        <w:t>（1）</w:t>
      </w:r>
      <w:r>
        <w:rPr>
          <w:rFonts w:eastAsia="方正仿宋_GBK"/>
          <w:color w:val="000000" w:themeColor="text1"/>
          <w:spacing w:val="0"/>
          <w:sz w:val="32"/>
          <w:szCs w:val="32"/>
          <w:lang w:val="en-US"/>
          <w14:textFill>
            <w14:solidFill>
              <w14:schemeClr w14:val="tx1"/>
            </w14:solidFill>
          </w14:textFill>
        </w:rPr>
        <w:t>本单位将结合项目实际，设置</w:t>
      </w:r>
      <w:r>
        <w:rPr>
          <w:rFonts w:hint="eastAsia" w:eastAsia="方正仿宋_GBK"/>
          <w:color w:val="000000"/>
          <w:spacing w:val="0"/>
          <w:sz w:val="32"/>
          <w:szCs w:val="32"/>
          <w:lang w:eastAsia="zh-CN"/>
        </w:rPr>
        <w:t>“</w:t>
      </w:r>
      <w:r>
        <w:rPr>
          <w:rFonts w:eastAsia="方正仿宋_GBK"/>
          <w:color w:val="000000"/>
          <w:spacing w:val="0"/>
          <w:sz w:val="32"/>
          <w:szCs w:val="32"/>
        </w:rPr>
        <w:t>擂主</w:t>
      </w:r>
      <w:r>
        <w:rPr>
          <w:rFonts w:hint="eastAsia" w:eastAsia="方正仿宋_GBK"/>
          <w:color w:val="000000"/>
          <w:spacing w:val="0"/>
          <w:sz w:val="32"/>
          <w:szCs w:val="32"/>
          <w:lang w:eastAsia="zh-CN"/>
        </w:rPr>
        <w:t>”</w:t>
      </w:r>
      <w:r>
        <w:rPr>
          <w:rFonts w:eastAsia="方正仿宋_GBK"/>
          <w:color w:val="000000"/>
          <w:spacing w:val="0"/>
          <w:sz w:val="32"/>
          <w:szCs w:val="32"/>
        </w:rPr>
        <w:t>奖金10000元，特等奖奖金5000元，一等奖奖金3000元，二等奖奖金2000元，三等奖奖金1000元。</w:t>
      </w:r>
      <w:r>
        <w:rPr>
          <w:rFonts w:hint="eastAsia" w:eastAsia="方正仿宋_GBK"/>
          <w:color w:val="000000"/>
          <w:spacing w:val="0"/>
          <w:sz w:val="32"/>
          <w:szCs w:val="32"/>
          <w:lang w:eastAsia="zh-CN"/>
        </w:rPr>
        <w:t>“</w:t>
      </w:r>
      <w:r>
        <w:rPr>
          <w:rFonts w:eastAsia="方正仿宋_GBK"/>
          <w:color w:val="000000"/>
          <w:spacing w:val="0"/>
          <w:sz w:val="32"/>
          <w:szCs w:val="32"/>
        </w:rPr>
        <w:t>擂主</w:t>
      </w:r>
      <w:r>
        <w:rPr>
          <w:rFonts w:hint="eastAsia" w:eastAsia="方正仿宋_GBK"/>
          <w:color w:val="000000"/>
          <w:spacing w:val="0"/>
          <w:sz w:val="32"/>
          <w:szCs w:val="32"/>
          <w:lang w:eastAsia="zh-CN"/>
        </w:rPr>
        <w:t>”</w:t>
      </w:r>
      <w:r>
        <w:rPr>
          <w:rFonts w:eastAsia="方正仿宋_GBK"/>
          <w:color w:val="000000"/>
          <w:spacing w:val="0"/>
          <w:sz w:val="32"/>
          <w:szCs w:val="32"/>
        </w:rPr>
        <w:t>奖金与特等奖奖金可累加，即15000元。</w:t>
      </w:r>
    </w:p>
    <w:p>
      <w:pPr>
        <w:pageBreakBefore w:val="0"/>
        <w:kinsoku/>
        <w:wordWrap/>
        <w:overflowPunct/>
        <w:topLinePunct w:val="0"/>
        <w:autoSpaceDE/>
        <w:autoSpaceDN/>
        <w:bidi w:val="0"/>
        <w:adjustRightInd w:val="0"/>
        <w:snapToGrid w:val="0"/>
        <w:spacing w:line="560" w:lineRule="exact"/>
        <w:ind w:left="0" w:firstLine="640" w:firstLineChars="200"/>
        <w:jc w:val="both"/>
        <w:textAlignment w:val="auto"/>
        <w:rPr>
          <w:rFonts w:eastAsia="方正仿宋_GBK"/>
          <w:color w:val="000000"/>
          <w:spacing w:val="0"/>
          <w:sz w:val="32"/>
          <w:szCs w:val="32"/>
        </w:rPr>
      </w:pPr>
      <w:r>
        <w:rPr>
          <w:rFonts w:eastAsia="方正仿宋_GBK"/>
          <w:color w:val="000000"/>
          <w:spacing w:val="0"/>
          <w:sz w:val="32"/>
          <w:szCs w:val="32"/>
        </w:rPr>
        <w:t>（2）对于选择本题目的学生可优先安排实习工作，对获奖且有意愿到公司工作的学生可优先录用。</w:t>
      </w:r>
    </w:p>
    <w:p>
      <w:pPr>
        <w:pageBreakBefore w:val="0"/>
        <w:kinsoku/>
        <w:wordWrap/>
        <w:overflowPunct/>
        <w:topLinePunct w:val="0"/>
        <w:autoSpaceDE/>
        <w:autoSpaceDN/>
        <w:bidi w:val="0"/>
        <w:adjustRightInd w:val="0"/>
        <w:snapToGrid w:val="0"/>
        <w:spacing w:line="560" w:lineRule="exact"/>
        <w:ind w:left="0" w:firstLine="640" w:firstLineChars="200"/>
        <w:jc w:val="both"/>
        <w:textAlignment w:val="auto"/>
        <w:rPr>
          <w:rFonts w:eastAsia="方正仿宋_GBK"/>
          <w:color w:val="000000"/>
          <w:spacing w:val="0"/>
          <w:sz w:val="32"/>
          <w:szCs w:val="32"/>
        </w:rPr>
      </w:pPr>
      <w:r>
        <w:rPr>
          <w:rFonts w:eastAsia="方正仿宋_GBK"/>
          <w:color w:val="000000"/>
          <w:spacing w:val="0"/>
          <w:sz w:val="32"/>
          <w:szCs w:val="32"/>
        </w:rPr>
        <w:t>（3）对于获得</w:t>
      </w:r>
      <w:r>
        <w:rPr>
          <w:rFonts w:hint="eastAsia" w:eastAsia="方正仿宋_GBK"/>
          <w:color w:val="000000"/>
          <w:spacing w:val="0"/>
          <w:sz w:val="32"/>
          <w:szCs w:val="32"/>
          <w:lang w:eastAsia="zh-CN"/>
        </w:rPr>
        <w:t>“</w:t>
      </w:r>
      <w:r>
        <w:rPr>
          <w:rFonts w:eastAsia="方正仿宋_GBK"/>
          <w:color w:val="000000"/>
          <w:spacing w:val="0"/>
          <w:sz w:val="32"/>
          <w:szCs w:val="32"/>
        </w:rPr>
        <w:t>擂主</w:t>
      </w:r>
      <w:r>
        <w:rPr>
          <w:rFonts w:hint="eastAsia" w:eastAsia="方正仿宋_GBK"/>
          <w:color w:val="000000"/>
          <w:spacing w:val="0"/>
          <w:sz w:val="32"/>
          <w:szCs w:val="32"/>
          <w:lang w:eastAsia="zh-CN"/>
        </w:rPr>
        <w:t>“</w:t>
      </w:r>
      <w:r>
        <w:rPr>
          <w:rFonts w:eastAsia="方正仿宋_GBK"/>
          <w:color w:val="000000"/>
          <w:spacing w:val="0"/>
          <w:sz w:val="32"/>
          <w:szCs w:val="32"/>
        </w:rPr>
        <w:t>和特等奖的团队，经公司批准后，可获得产学研合作基金项目立项，对项目进行进一步产业化研究。</w:t>
      </w:r>
    </w:p>
    <w:p>
      <w:pPr>
        <w:pStyle w:val="4"/>
        <w:pageBreakBefore w:val="0"/>
        <w:numPr>
          <w:ilvl w:val="0"/>
          <w:numId w:val="6"/>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奖金发放方式</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所有现金奖励将在比赛结束</w:t>
      </w:r>
      <w:r>
        <w:rPr>
          <w:rFonts w:eastAsia="方正仿宋_GBK"/>
          <w:color w:val="000000"/>
          <w:spacing w:val="0"/>
          <w:sz w:val="32"/>
          <w:szCs w:val="32"/>
        </w:rPr>
        <w:t>并经公司领导审批后3个月内一次性发放</w:t>
      </w:r>
      <w:r>
        <w:rPr>
          <w:rFonts w:eastAsia="方正仿宋_GBK"/>
          <w:color w:val="000000" w:themeColor="text1"/>
          <w:spacing w:val="0"/>
          <w:sz w:val="32"/>
          <w:szCs w:val="32"/>
          <w:lang w:val="en-US"/>
          <w14:textFill>
            <w14:solidFill>
              <w14:schemeClr w14:val="tx1"/>
            </w14:solidFill>
          </w14:textFill>
        </w:rPr>
        <w:t>，通过银行转账的方式，发放至各获奖团队指定的账号。</w:t>
      </w:r>
    </w:p>
    <w:p>
      <w:pPr>
        <w:pStyle w:val="3"/>
        <w:pageBreakBefore w:val="0"/>
        <w:kinsoku/>
        <w:wordWrap/>
        <w:overflowPunct/>
        <w:topLinePunct w:val="0"/>
        <w:autoSpaceDE/>
        <w:autoSpaceDN/>
        <w:bidi w:val="0"/>
        <w:ind w:left="0" w:firstLine="640" w:firstLineChars="200"/>
        <w:textAlignment w:val="auto"/>
        <w:rPr>
          <w:spacing w:val="0"/>
          <w:lang w:val="en-US"/>
        </w:rPr>
      </w:pPr>
      <w:r>
        <w:rPr>
          <w:spacing w:val="0"/>
          <w:lang w:val="en-US"/>
        </w:rPr>
        <w:t>比赛专班联系方式</w:t>
      </w:r>
    </w:p>
    <w:p>
      <w:pPr>
        <w:pStyle w:val="4"/>
        <w:pageBreakBefore w:val="0"/>
        <w:numPr>
          <w:ilvl w:val="0"/>
          <w:numId w:val="7"/>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专家指导团队</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联络专员：黄老师，联系方式：</w:t>
      </w:r>
      <w:r>
        <w:rPr>
          <w:rFonts w:eastAsia="方正仿宋_GBK"/>
          <w:color w:val="000000" w:themeColor="text1"/>
          <w:spacing w:val="0"/>
          <w:sz w:val="32"/>
          <w:szCs w:val="32"/>
          <w14:textFill>
            <w14:solidFill>
              <w14:schemeClr w14:val="tx1"/>
            </w14:solidFill>
          </w14:textFill>
        </w:rPr>
        <w:t xml:space="preserve">17307754949，15305291560 </w:t>
      </w:r>
      <w:r>
        <w:rPr>
          <w:rFonts w:eastAsia="方正仿宋_GBK"/>
          <w:color w:val="000000" w:themeColor="text1"/>
          <w:spacing w:val="0"/>
          <w:sz w:val="32"/>
          <w:szCs w:val="32"/>
          <w:lang w:val="en-US"/>
          <w14:textFill>
            <w14:solidFill>
              <w14:schemeClr w14:val="tx1"/>
            </w14:solidFill>
          </w14:textFill>
        </w:rPr>
        <w:t xml:space="preserve"> </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指导专家：曹老师，联系方式：18877580003</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负责比赛进行期间技术指导保障。</w:t>
      </w:r>
    </w:p>
    <w:p>
      <w:pPr>
        <w:pStyle w:val="4"/>
        <w:pageBreakBefore w:val="0"/>
        <w:numPr>
          <w:ilvl w:val="0"/>
          <w:numId w:val="7"/>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赛事服务团队</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联络专员：蒙老师，联系方式：18775519582</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负责比赛进行期间组织服务及后期相关赛务协调联络。</w:t>
      </w:r>
    </w:p>
    <w:p>
      <w:pPr>
        <w:pStyle w:val="4"/>
        <w:pageBreakBefore w:val="0"/>
        <w:numPr>
          <w:ilvl w:val="0"/>
          <w:numId w:val="7"/>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联系时间</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比赛进行期间工作日（8:30-11:30，14:00-17:30）</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p>
    <w:p>
      <w:pPr>
        <w:pStyle w:val="3"/>
        <w:numPr>
          <w:ilvl w:val="0"/>
          <w:numId w:val="0"/>
        </w:numPr>
        <w:jc w:val="right"/>
        <w:rPr>
          <w:rFonts w:hint="eastAsia" w:ascii="方正仿宋_GBK" w:hAnsi="方正仿宋_GBK" w:eastAsia="方正仿宋_GBK" w:cs="方正仿宋_GBK"/>
          <w:lang w:val="en-US"/>
        </w:rPr>
      </w:pPr>
      <w:r>
        <w:rPr>
          <w:rFonts w:hint="eastAsia" w:ascii="方正仿宋_GBK" w:hAnsi="方正仿宋_GBK" w:eastAsia="方正仿宋_GBK" w:cs="方正仿宋_GBK"/>
          <w:lang w:val="en-US"/>
        </w:rPr>
        <w:t xml:space="preserve">                            广西玉柴机器股份有限公司</w:t>
      </w:r>
    </w:p>
    <w:p>
      <w:pPr>
        <w:spacing w:line="560" w:lineRule="exact"/>
        <w:jc w:val="both"/>
        <w:rPr>
          <w:rFonts w:eastAsia="方正黑体_GBK"/>
          <w:color w:val="000000" w:themeColor="text1"/>
          <w:lang w:val="en-US"/>
          <w14:textFill>
            <w14:solidFill>
              <w14:schemeClr w14:val="tx1"/>
            </w14:solidFill>
          </w14:textFill>
        </w:rPr>
      </w:pPr>
    </w:p>
    <w:p>
      <w:pPr>
        <w:spacing w:line="560" w:lineRule="exact"/>
        <w:jc w:val="both"/>
        <w:rPr>
          <w:rFonts w:eastAsia="方正仿宋_GBK"/>
          <w:color w:val="000000" w:themeColor="text1"/>
          <w:sz w:val="32"/>
          <w:szCs w:val="32"/>
          <w14:textFill>
            <w14:solidFill>
              <w14:schemeClr w14:val="tx1"/>
            </w14:solidFill>
          </w14:textFill>
        </w:rPr>
      </w:pPr>
    </w:p>
    <w:p>
      <w:pPr>
        <w:spacing w:line="560" w:lineRule="exact"/>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br w:type="page"/>
      </w:r>
    </w:p>
    <w:p>
      <w:pPr>
        <w:pStyle w:val="3"/>
        <w:numPr>
          <w:ilvl w:val="0"/>
          <w:numId w:val="0"/>
        </w:numPr>
        <w:rPr>
          <w:lang w:val="en-US"/>
        </w:rPr>
      </w:pPr>
      <w:r>
        <w:rPr>
          <w:lang w:val="en-US"/>
        </w:rPr>
        <w:t>附：选题申报单位简介</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广西玉柴机器股份有限公司始建于1951年，是国内</w:t>
      </w:r>
      <w:r>
        <w:rPr>
          <w:rFonts w:hint="eastAsia" w:eastAsia="方正仿宋_GBK"/>
          <w:color w:val="000000" w:themeColor="text1"/>
          <w:sz w:val="32"/>
          <w:szCs w:val="32"/>
          <w:lang w:val="en-US"/>
          <w14:textFill>
            <w14:solidFill>
              <w14:schemeClr w14:val="tx1"/>
            </w14:solidFill>
          </w14:textFill>
        </w:rPr>
        <w:t>行业</w:t>
      </w:r>
      <w:r>
        <w:rPr>
          <w:rFonts w:eastAsia="方正仿宋_GBK"/>
          <w:color w:val="000000" w:themeColor="text1"/>
          <w:sz w:val="32"/>
          <w:szCs w:val="32"/>
          <w:lang w:val="en-US"/>
          <w14:textFill>
            <w14:solidFill>
              <w14:schemeClr w14:val="tx1"/>
            </w14:solidFill>
          </w14:textFill>
        </w:rPr>
        <w:t>首家赴境外上市的中外合资企业，目前中国最大的内燃机生产基地，最大的独立动力系统制造商</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产品包含传统</w:t>
      </w:r>
      <w:r>
        <w:rPr>
          <w:rFonts w:hint="eastAsia" w:eastAsia="方正仿宋_GBK"/>
          <w:color w:val="000000" w:themeColor="text1"/>
          <w:sz w:val="32"/>
          <w:szCs w:val="32"/>
          <w:lang w:val="en-US"/>
          <w14:textFill>
            <w14:solidFill>
              <w14:schemeClr w14:val="tx1"/>
            </w14:solidFill>
          </w14:textFill>
        </w:rPr>
        <w:t>内燃机</w:t>
      </w:r>
      <w:r>
        <w:rPr>
          <w:rFonts w:eastAsia="方正仿宋_GBK"/>
          <w:color w:val="000000" w:themeColor="text1"/>
          <w:sz w:val="32"/>
          <w:szCs w:val="32"/>
          <w:lang w:val="en-US"/>
          <w14:textFill>
            <w14:solidFill>
              <w14:schemeClr w14:val="tx1"/>
            </w14:solidFill>
          </w14:textFill>
        </w:rPr>
        <w:t>及</w:t>
      </w:r>
      <w:r>
        <w:rPr>
          <w:rFonts w:hint="eastAsia" w:eastAsia="方正仿宋_GBK"/>
          <w:color w:val="000000" w:themeColor="text1"/>
          <w:sz w:val="32"/>
          <w:szCs w:val="32"/>
          <w:lang w:val="en-US"/>
          <w14:textFill>
            <w14:solidFill>
              <w14:schemeClr w14:val="tx1"/>
            </w14:solidFill>
          </w14:textFill>
        </w:rPr>
        <w:t>各类</w:t>
      </w:r>
      <w:r>
        <w:rPr>
          <w:rFonts w:eastAsia="方正仿宋_GBK"/>
          <w:color w:val="000000" w:themeColor="text1"/>
          <w:sz w:val="32"/>
          <w:szCs w:val="32"/>
          <w:lang w:val="en-US"/>
          <w14:textFill>
            <w14:solidFill>
              <w14:schemeClr w14:val="tx1"/>
            </w14:solidFill>
          </w14:textFill>
        </w:rPr>
        <w:t>新能源动力</w:t>
      </w:r>
      <w:r>
        <w:rPr>
          <w:rFonts w:hint="eastAsia" w:eastAsia="方正仿宋_GBK"/>
          <w:color w:val="000000" w:themeColor="text1"/>
          <w:sz w:val="32"/>
          <w:szCs w:val="32"/>
          <w:lang w:val="en-US"/>
          <w14:textFill>
            <w14:solidFill>
              <w14:schemeClr w14:val="tx1"/>
            </w14:solidFill>
          </w14:textFill>
        </w:rPr>
        <w:t>系统</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内燃机</w:t>
      </w:r>
      <w:r>
        <w:rPr>
          <w:rFonts w:eastAsia="方正仿宋_GBK"/>
          <w:color w:val="000000" w:themeColor="text1"/>
          <w:sz w:val="32"/>
          <w:szCs w:val="32"/>
          <w:lang w:val="en-US"/>
          <w14:textFill>
            <w14:solidFill>
              <w14:schemeClr w14:val="tx1"/>
            </w14:solidFill>
          </w14:textFill>
        </w:rPr>
        <w:t>年生产能力100万台，新能源动力</w:t>
      </w:r>
      <w:r>
        <w:rPr>
          <w:rFonts w:hint="eastAsia" w:eastAsia="方正仿宋_GBK"/>
          <w:color w:val="000000" w:themeColor="text1"/>
          <w:sz w:val="32"/>
          <w:szCs w:val="32"/>
          <w:lang w:val="en-US"/>
          <w14:textFill>
            <w14:solidFill>
              <w14:schemeClr w14:val="tx1"/>
            </w14:solidFill>
          </w14:textFill>
        </w:rPr>
        <w:t>系统</w:t>
      </w:r>
      <w:r>
        <w:rPr>
          <w:rFonts w:eastAsia="方正仿宋_GBK"/>
          <w:color w:val="000000" w:themeColor="text1"/>
          <w:sz w:val="32"/>
          <w:szCs w:val="32"/>
          <w:lang w:val="en-US"/>
          <w14:textFill>
            <w14:solidFill>
              <w14:schemeClr w14:val="tx1"/>
            </w14:solidFill>
          </w14:textFill>
        </w:rPr>
        <w:t>年生产能力达到2万台套，产品远销亚欧美非等180多个国家和地区，年销售收入近500亿元，拥有南宁、玉林、苏州、欧洲四大研发基地，是国家级企业技术中心评价第1名</w:t>
      </w:r>
      <w:r>
        <w:rPr>
          <w:rFonts w:hint="eastAsia" w:eastAsia="方正仿宋_GBK"/>
          <w:color w:val="000000" w:themeColor="text1"/>
          <w:sz w:val="32"/>
          <w:szCs w:val="32"/>
          <w:lang w:val="en-US"/>
          <w14:textFill>
            <w14:solidFill>
              <w14:schemeClr w14:val="tx1"/>
            </w14:solidFill>
          </w14:textFill>
        </w:rPr>
        <w:t>获得单位</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公司</w:t>
      </w:r>
      <w:r>
        <w:rPr>
          <w:rFonts w:eastAsia="方正仿宋_GBK"/>
          <w:color w:val="000000" w:themeColor="text1"/>
          <w:sz w:val="32"/>
          <w:szCs w:val="32"/>
          <w:lang w:val="en-US"/>
          <w14:textFill>
            <w14:solidFill>
              <w14:schemeClr w14:val="tx1"/>
            </w14:solidFill>
          </w14:textFill>
        </w:rPr>
        <w:t>产品</w:t>
      </w:r>
      <w:r>
        <w:rPr>
          <w:rFonts w:hint="eastAsia" w:eastAsia="方正仿宋_GBK"/>
          <w:color w:val="000000" w:themeColor="text1"/>
          <w:sz w:val="32"/>
          <w:szCs w:val="32"/>
          <w:lang w:val="en-US"/>
          <w14:textFill>
            <w14:solidFill>
              <w14:schemeClr w14:val="tx1"/>
            </w14:solidFill>
          </w14:textFill>
        </w:rPr>
        <w:t>族谱</w:t>
      </w:r>
      <w:r>
        <w:rPr>
          <w:rFonts w:eastAsia="方正仿宋_GBK"/>
          <w:color w:val="000000" w:themeColor="text1"/>
          <w:sz w:val="32"/>
          <w:szCs w:val="32"/>
          <w:lang w:val="en-US"/>
          <w14:textFill>
            <w14:solidFill>
              <w14:schemeClr w14:val="tx1"/>
            </w14:solidFill>
          </w14:textFill>
        </w:rPr>
        <w:t>涵盖14大平台49大系列共2000多个产品，广泛应用于卡车、客车、工程机械、农业装备、船舶、发电、专用车、轻型车等领域，其中，农机配套动力市场份额第一。公司拥有授权专利5300多件，连续15年排名行业第一，近年来先后承担、参与十余项国家</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863</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研究课题和国家科研项目，并荣获多项国家科学技术奖。</w:t>
      </w:r>
    </w:p>
    <w:sectPr>
      <w:footerReference r:id="rId3" w:type="default"/>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script"/>
    <w:pitch w:val="default"/>
    <w:sig w:usb0="A00002BF" w:usb1="38CF7CFA" w:usb2="00082016" w:usb3="00000000" w:csb0="00040001" w:csb1="00000000"/>
    <w:embedRegular r:id="rId1" w:fontKey="{3D1D27D6-EEC4-4886-9279-856715FAC702}"/>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embedRegular r:id="rId2" w:fontKey="{F5B7E990-FC81-4C57-8E88-473A38541714}"/>
  </w:font>
  <w:font w:name="方正大标宋_GBK">
    <w:panose1 w:val="03000509000000000000"/>
    <w:charset w:val="86"/>
    <w:family w:val="script"/>
    <w:pitch w:val="default"/>
    <w:sig w:usb0="00000001" w:usb1="080E0000" w:usb2="00000000" w:usb3="00000000" w:csb0="00040000" w:csb1="00000000"/>
    <w:embedRegular r:id="rId3" w:fontKey="{BF649DFB-0D5A-432D-A1A4-9A3CBCEA92D6}"/>
  </w:font>
  <w:font w:name="方正仿宋_GBK">
    <w:panose1 w:val="02000000000000000000"/>
    <w:charset w:val="86"/>
    <w:family w:val="script"/>
    <w:pitch w:val="default"/>
    <w:sig w:usb0="A00002BF" w:usb1="38CF7CFA" w:usb2="00082016" w:usb3="00000000" w:csb0="00040001" w:csb1="00000000"/>
    <w:embedRegular r:id="rId4" w:fontKey="{6CD4B378-64A1-4BBE-B048-5BC63E2E2ADF}"/>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1005645"/>
    </w:sdtPr>
    <w:sdtEndPr>
      <w:rPr>
        <w:rFonts w:ascii="Times New Roman" w:hAnsi="Times New Roman" w:cs="Times New Roman"/>
        <w:sz w:val="24"/>
        <w:szCs w:val="24"/>
      </w:rPr>
    </w:sdtEndPr>
    <w:sdtContent>
      <w:p>
        <w:pPr>
          <w:pStyle w:val="5"/>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3"/>
      <w:suff w:val="nothing"/>
      <w:lvlText w:val="%1、"/>
      <w:lvlJc w:val="left"/>
      <w:pPr>
        <w:ind w:left="147" w:firstLine="420"/>
      </w:pPr>
      <w:rPr>
        <w:rFonts w:hint="eastAsia"/>
        <w:b w:val="0"/>
        <w:bCs w:val="0"/>
      </w:rPr>
    </w:lvl>
  </w:abstractNum>
  <w:abstractNum w:abstractNumId="1">
    <w:nsid w:val="1C0CFABB"/>
    <w:multiLevelType w:val="singleLevel"/>
    <w:tmpl w:val="1C0CFABB"/>
    <w:lvl w:ilvl="0" w:tentative="0">
      <w:start w:val="1"/>
      <w:numFmt w:val="decimal"/>
      <w:suff w:val="space"/>
      <w:lvlText w:val="（%1）"/>
      <w:lvlJc w:val="left"/>
    </w:lvl>
  </w:abstractNum>
  <w:abstractNum w:abstractNumId="2">
    <w:nsid w:val="48034F2A"/>
    <w:multiLevelType w:val="multilevel"/>
    <w:tmpl w:val="48034F2A"/>
    <w:lvl w:ilvl="0" w:tentative="0">
      <w:start w:val="1"/>
      <w:numFmt w:val="decimal"/>
      <w:lvlText w:val="%1."/>
      <w:lvlJc w:val="left"/>
      <w:pPr>
        <w:ind w:left="1040" w:hanging="40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abstractNum w:abstractNumId="3">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4">
    <w:nsid w:val="53FCF9C3"/>
    <w:multiLevelType w:val="singleLevel"/>
    <w:tmpl w:val="53FCF9C3"/>
    <w:lvl w:ilvl="0" w:tentative="0">
      <w:start w:val="1"/>
      <w:numFmt w:val="decimal"/>
      <w:suff w:val="space"/>
      <w:lvlText w:val="（%1）"/>
      <w:lvlJc w:val="left"/>
    </w:lvl>
  </w:abstractNum>
  <w:num w:numId="1">
    <w:abstractNumId w:val="0"/>
  </w:num>
  <w:num w:numId="2">
    <w:abstractNumId w:val="3"/>
  </w:num>
  <w:num w:numId="3">
    <w:abstractNumId w:val="2"/>
  </w:num>
  <w:num w:numId="4">
    <w:abstractNumId w:val="1"/>
  </w:num>
  <w:num w:numId="5">
    <w:abstractNumId w:val="4"/>
  </w:num>
  <w:num w:numId="6">
    <w:abstractNumId w:val="3"/>
    <w:lvlOverride w:ilvl="0">
      <w:startOverride w:val="1"/>
    </w:lvlOverride>
  </w:num>
  <w:num w:numId="7">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C3803"/>
    <w:rsid w:val="000D57EF"/>
    <w:rsid w:val="0010211D"/>
    <w:rsid w:val="001102DB"/>
    <w:rsid w:val="0011069F"/>
    <w:rsid w:val="00111E5D"/>
    <w:rsid w:val="00120156"/>
    <w:rsid w:val="00127FAA"/>
    <w:rsid w:val="001367A9"/>
    <w:rsid w:val="00143054"/>
    <w:rsid w:val="001579F2"/>
    <w:rsid w:val="00157EB2"/>
    <w:rsid w:val="00164C26"/>
    <w:rsid w:val="0016564C"/>
    <w:rsid w:val="00170FC5"/>
    <w:rsid w:val="001B0D74"/>
    <w:rsid w:val="001B2C6C"/>
    <w:rsid w:val="001B7D62"/>
    <w:rsid w:val="001C0DFA"/>
    <w:rsid w:val="001D0729"/>
    <w:rsid w:val="001E760D"/>
    <w:rsid w:val="001E77C2"/>
    <w:rsid w:val="001F5F28"/>
    <w:rsid w:val="001F6CC8"/>
    <w:rsid w:val="0020086A"/>
    <w:rsid w:val="00205E3B"/>
    <w:rsid w:val="00236E3E"/>
    <w:rsid w:val="002560B0"/>
    <w:rsid w:val="00281AE9"/>
    <w:rsid w:val="00283877"/>
    <w:rsid w:val="002938E3"/>
    <w:rsid w:val="002B0D40"/>
    <w:rsid w:val="002B6DDC"/>
    <w:rsid w:val="002E0040"/>
    <w:rsid w:val="002E7BFD"/>
    <w:rsid w:val="002F7D9C"/>
    <w:rsid w:val="00341051"/>
    <w:rsid w:val="00351403"/>
    <w:rsid w:val="00354FAF"/>
    <w:rsid w:val="00363E2D"/>
    <w:rsid w:val="00371816"/>
    <w:rsid w:val="00373BDD"/>
    <w:rsid w:val="00392185"/>
    <w:rsid w:val="0039481F"/>
    <w:rsid w:val="003B6C68"/>
    <w:rsid w:val="003B786C"/>
    <w:rsid w:val="003D35E6"/>
    <w:rsid w:val="003E007F"/>
    <w:rsid w:val="003E2852"/>
    <w:rsid w:val="00403615"/>
    <w:rsid w:val="00405B32"/>
    <w:rsid w:val="00407F26"/>
    <w:rsid w:val="0041464C"/>
    <w:rsid w:val="0044592C"/>
    <w:rsid w:val="00463782"/>
    <w:rsid w:val="004718A2"/>
    <w:rsid w:val="00471974"/>
    <w:rsid w:val="00476A7D"/>
    <w:rsid w:val="00483410"/>
    <w:rsid w:val="004876C3"/>
    <w:rsid w:val="00494F44"/>
    <w:rsid w:val="00496D3E"/>
    <w:rsid w:val="004A0A91"/>
    <w:rsid w:val="004B00B4"/>
    <w:rsid w:val="004B01E5"/>
    <w:rsid w:val="004B6FF1"/>
    <w:rsid w:val="004D0FC5"/>
    <w:rsid w:val="004F30AF"/>
    <w:rsid w:val="004F3DC9"/>
    <w:rsid w:val="005065D6"/>
    <w:rsid w:val="00513725"/>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33F6B"/>
    <w:rsid w:val="00636A52"/>
    <w:rsid w:val="00636F96"/>
    <w:rsid w:val="006500AF"/>
    <w:rsid w:val="00663468"/>
    <w:rsid w:val="0066573D"/>
    <w:rsid w:val="0068166A"/>
    <w:rsid w:val="006A3A6E"/>
    <w:rsid w:val="006A51DF"/>
    <w:rsid w:val="006C37DD"/>
    <w:rsid w:val="006C3959"/>
    <w:rsid w:val="006C732F"/>
    <w:rsid w:val="006E6DDA"/>
    <w:rsid w:val="007216F0"/>
    <w:rsid w:val="0073249A"/>
    <w:rsid w:val="00746651"/>
    <w:rsid w:val="00765C33"/>
    <w:rsid w:val="00777C79"/>
    <w:rsid w:val="007879EC"/>
    <w:rsid w:val="007E2AAC"/>
    <w:rsid w:val="007E6255"/>
    <w:rsid w:val="007F195A"/>
    <w:rsid w:val="00802D1C"/>
    <w:rsid w:val="00805D49"/>
    <w:rsid w:val="00816F55"/>
    <w:rsid w:val="00825FD8"/>
    <w:rsid w:val="008313DD"/>
    <w:rsid w:val="008321B0"/>
    <w:rsid w:val="00834412"/>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342D"/>
    <w:rsid w:val="00995541"/>
    <w:rsid w:val="00996802"/>
    <w:rsid w:val="009A5F81"/>
    <w:rsid w:val="00A01A52"/>
    <w:rsid w:val="00A0235C"/>
    <w:rsid w:val="00A22759"/>
    <w:rsid w:val="00A30D68"/>
    <w:rsid w:val="00A31A98"/>
    <w:rsid w:val="00A4232F"/>
    <w:rsid w:val="00A43480"/>
    <w:rsid w:val="00A460CE"/>
    <w:rsid w:val="00A46C22"/>
    <w:rsid w:val="00AA7BD8"/>
    <w:rsid w:val="00AB1BF4"/>
    <w:rsid w:val="00AD025A"/>
    <w:rsid w:val="00AD24CF"/>
    <w:rsid w:val="00AD6CFA"/>
    <w:rsid w:val="00AE66B7"/>
    <w:rsid w:val="00B0258C"/>
    <w:rsid w:val="00B32E7F"/>
    <w:rsid w:val="00B40CAF"/>
    <w:rsid w:val="00B52CCC"/>
    <w:rsid w:val="00B70A95"/>
    <w:rsid w:val="00B80EC7"/>
    <w:rsid w:val="00BA70BA"/>
    <w:rsid w:val="00BC1B59"/>
    <w:rsid w:val="00BE634B"/>
    <w:rsid w:val="00BF4E2D"/>
    <w:rsid w:val="00C217F1"/>
    <w:rsid w:val="00C24C93"/>
    <w:rsid w:val="00C60328"/>
    <w:rsid w:val="00C678B8"/>
    <w:rsid w:val="00C81301"/>
    <w:rsid w:val="00C82B11"/>
    <w:rsid w:val="00C90F03"/>
    <w:rsid w:val="00C97BA0"/>
    <w:rsid w:val="00CB3552"/>
    <w:rsid w:val="00CB5FAC"/>
    <w:rsid w:val="00D05DE3"/>
    <w:rsid w:val="00D129C4"/>
    <w:rsid w:val="00D474E2"/>
    <w:rsid w:val="00D531BB"/>
    <w:rsid w:val="00D55D40"/>
    <w:rsid w:val="00D64A7B"/>
    <w:rsid w:val="00D71164"/>
    <w:rsid w:val="00D755E0"/>
    <w:rsid w:val="00D8092B"/>
    <w:rsid w:val="00D826F5"/>
    <w:rsid w:val="00D905C1"/>
    <w:rsid w:val="00DA4A6A"/>
    <w:rsid w:val="00DB02D9"/>
    <w:rsid w:val="00DB59F1"/>
    <w:rsid w:val="00DE3A81"/>
    <w:rsid w:val="00DE6299"/>
    <w:rsid w:val="00DF09AA"/>
    <w:rsid w:val="00DF64DF"/>
    <w:rsid w:val="00DF78E0"/>
    <w:rsid w:val="00E01DD4"/>
    <w:rsid w:val="00E02303"/>
    <w:rsid w:val="00E05639"/>
    <w:rsid w:val="00E067C4"/>
    <w:rsid w:val="00E13134"/>
    <w:rsid w:val="00E24904"/>
    <w:rsid w:val="00E30024"/>
    <w:rsid w:val="00E46C70"/>
    <w:rsid w:val="00E47733"/>
    <w:rsid w:val="00E5011B"/>
    <w:rsid w:val="00E524CD"/>
    <w:rsid w:val="00E61783"/>
    <w:rsid w:val="00E65FC6"/>
    <w:rsid w:val="00E72C07"/>
    <w:rsid w:val="00E909FD"/>
    <w:rsid w:val="00EA0B44"/>
    <w:rsid w:val="00EA4020"/>
    <w:rsid w:val="00EA697C"/>
    <w:rsid w:val="00EA6F7D"/>
    <w:rsid w:val="00EB1E9B"/>
    <w:rsid w:val="00EB2BDB"/>
    <w:rsid w:val="00EB4B20"/>
    <w:rsid w:val="00EF3C50"/>
    <w:rsid w:val="00F1317D"/>
    <w:rsid w:val="00F256C4"/>
    <w:rsid w:val="00F26931"/>
    <w:rsid w:val="00F57CAE"/>
    <w:rsid w:val="00F70F5B"/>
    <w:rsid w:val="00F74A1C"/>
    <w:rsid w:val="00F75202"/>
    <w:rsid w:val="00F910DA"/>
    <w:rsid w:val="00FA1D99"/>
    <w:rsid w:val="00FE3304"/>
    <w:rsid w:val="00FE368F"/>
    <w:rsid w:val="00FF5C3F"/>
    <w:rsid w:val="011D4668"/>
    <w:rsid w:val="01982DDA"/>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4F072B4"/>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4CF0047"/>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D4582A"/>
    <w:rsid w:val="39EE0ECA"/>
    <w:rsid w:val="3A010BF4"/>
    <w:rsid w:val="3A5A5133"/>
    <w:rsid w:val="3A5F052B"/>
    <w:rsid w:val="3B3347D5"/>
    <w:rsid w:val="3BC02155"/>
    <w:rsid w:val="3BF7E6BF"/>
    <w:rsid w:val="3C28581E"/>
    <w:rsid w:val="3C4538F8"/>
    <w:rsid w:val="3CA2297F"/>
    <w:rsid w:val="3CD975B2"/>
    <w:rsid w:val="3CFC1E0B"/>
    <w:rsid w:val="3CFF1E29"/>
    <w:rsid w:val="3D7D1865"/>
    <w:rsid w:val="3EBA1962"/>
    <w:rsid w:val="3ED27DBD"/>
    <w:rsid w:val="3F0C0676"/>
    <w:rsid w:val="3F141141"/>
    <w:rsid w:val="3F5A3C2F"/>
    <w:rsid w:val="3F724603"/>
    <w:rsid w:val="3FC76EA6"/>
    <w:rsid w:val="40244897"/>
    <w:rsid w:val="40504E9C"/>
    <w:rsid w:val="4090448B"/>
    <w:rsid w:val="4185378C"/>
    <w:rsid w:val="4217366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320268"/>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4966402"/>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DC7F4D"/>
    <w:rsid w:val="58F61D44"/>
    <w:rsid w:val="596B3D20"/>
    <w:rsid w:val="597D2244"/>
    <w:rsid w:val="59F3439B"/>
    <w:rsid w:val="5A0D30B4"/>
    <w:rsid w:val="5A2A3F59"/>
    <w:rsid w:val="5A483FF8"/>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7527CE"/>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6FE3278B"/>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BFB2776"/>
    <w:rsid w:val="7C07A0F5"/>
    <w:rsid w:val="7C0E057E"/>
    <w:rsid w:val="7C5311B3"/>
    <w:rsid w:val="7C64446D"/>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640" w:firstLineChars="200"/>
      <w:jc w:val="both"/>
      <w:outlineLvl w:val="1"/>
    </w:pPr>
    <w:rPr>
      <w:rFonts w:ascii="方正黑体简体" w:hAnsi="方正黑体简体" w:eastAsia="方正黑体_GBK"/>
      <w:sz w:val="32"/>
      <w:szCs w:val="22"/>
    </w:rPr>
  </w:style>
  <w:style w:type="paragraph" w:styleId="4">
    <w:name w:val="heading 3"/>
    <w:basedOn w:val="1"/>
    <w:next w:val="1"/>
    <w:link w:val="20"/>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6"/>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5"/>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paragraph" w:styleId="8">
    <w:name w:val="Title"/>
    <w:basedOn w:val="1"/>
    <w:next w:val="1"/>
    <w:link w:val="23"/>
    <w:autoRedefine/>
    <w:qFormat/>
    <w:uiPriority w:val="10"/>
    <w:pPr>
      <w:spacing w:line="560" w:lineRule="exact"/>
      <w:ind w:firstLine="200" w:firstLineChars="200"/>
      <w:jc w:val="both"/>
      <w:outlineLvl w:val="1"/>
    </w:pPr>
    <w:rPr>
      <w:rFonts w:eastAsia="方正楷体_GBK" w:asciiTheme="majorHAnsi" w:hAnsiTheme="majorHAnsi" w:cstheme="majorBidi"/>
      <w:bCs/>
      <w:sz w:val="32"/>
      <w:szCs w:val="32"/>
    </w:rPr>
  </w:style>
  <w:style w:type="character" w:styleId="11">
    <w:name w:val="Strong"/>
    <w:autoRedefine/>
    <w:qFormat/>
    <w:uiPriority w:val="22"/>
    <w:rPr>
      <w:b/>
      <w:bCs/>
    </w:rPr>
  </w:style>
  <w:style w:type="character" w:styleId="12">
    <w:name w:val="FollowedHyperlink"/>
    <w:basedOn w:val="10"/>
    <w:autoRedefine/>
    <w:semiHidden/>
    <w:unhideWhenUsed/>
    <w:qFormat/>
    <w:uiPriority w:val="99"/>
    <w:rPr>
      <w:color w:val="954F72" w:themeColor="followedHyperlink"/>
      <w:u w:val="single"/>
      <w14:textFill>
        <w14:solidFill>
          <w14:schemeClr w14:val="folHlink"/>
        </w14:solidFill>
      </w14:textFill>
    </w:rPr>
  </w:style>
  <w:style w:type="character" w:styleId="13">
    <w:name w:val="Emphasis"/>
    <w:basedOn w:val="10"/>
    <w:autoRedefine/>
    <w:qFormat/>
    <w:uiPriority w:val="20"/>
    <w:rPr>
      <w:i/>
      <w:iCs/>
    </w:rPr>
  </w:style>
  <w:style w:type="character" w:styleId="14">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5">
    <w:name w:val="页眉 字符"/>
    <w:basedOn w:val="10"/>
    <w:link w:val="6"/>
    <w:autoRedefine/>
    <w:qFormat/>
    <w:uiPriority w:val="99"/>
    <w:rPr>
      <w:sz w:val="18"/>
      <w:szCs w:val="18"/>
    </w:rPr>
  </w:style>
  <w:style w:type="character" w:customStyle="1" w:styleId="16">
    <w:name w:val="页脚 字符"/>
    <w:basedOn w:val="10"/>
    <w:link w:val="5"/>
    <w:autoRedefine/>
    <w:qFormat/>
    <w:uiPriority w:val="99"/>
    <w:rPr>
      <w:sz w:val="18"/>
      <w:szCs w:val="18"/>
    </w:rPr>
  </w:style>
  <w:style w:type="character" w:customStyle="1" w:styleId="17">
    <w:name w:val="未处理的提及1"/>
    <w:basedOn w:val="10"/>
    <w:autoRedefine/>
    <w:semiHidden/>
    <w:unhideWhenUsed/>
    <w:qFormat/>
    <w:uiPriority w:val="99"/>
    <w:rPr>
      <w:color w:val="605E5C"/>
      <w:shd w:val="clear" w:color="auto" w:fill="E1DFDD"/>
    </w:rPr>
  </w:style>
  <w:style w:type="paragraph" w:styleId="18">
    <w:name w:val="List Paragraph"/>
    <w:basedOn w:val="1"/>
    <w:autoRedefine/>
    <w:qFormat/>
    <w:uiPriority w:val="34"/>
    <w:pPr>
      <w:ind w:firstLine="420" w:firstLineChars="200"/>
    </w:pPr>
  </w:style>
  <w:style w:type="character" w:customStyle="1" w:styleId="19">
    <w:name w:val="未处理的提及2"/>
    <w:basedOn w:val="10"/>
    <w:autoRedefine/>
    <w:semiHidden/>
    <w:unhideWhenUsed/>
    <w:qFormat/>
    <w:uiPriority w:val="99"/>
    <w:rPr>
      <w:color w:val="605E5C"/>
      <w:shd w:val="clear" w:color="auto" w:fill="E1DFDD"/>
    </w:rPr>
  </w:style>
  <w:style w:type="character" w:customStyle="1" w:styleId="20">
    <w:name w:val="标题 3 字符"/>
    <w:link w:val="4"/>
    <w:autoRedefine/>
    <w:qFormat/>
    <w:uiPriority w:val="0"/>
    <w:rPr>
      <w:rFonts w:ascii="方正楷体简体" w:hAnsi="方正楷体简体" w:eastAsia="方正楷体简体"/>
      <w:sz w:val="32"/>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character" w:customStyle="1" w:styleId="22">
    <w:name w:val="未处理的提及3"/>
    <w:basedOn w:val="10"/>
    <w:autoRedefine/>
    <w:semiHidden/>
    <w:unhideWhenUsed/>
    <w:qFormat/>
    <w:uiPriority w:val="99"/>
    <w:rPr>
      <w:color w:val="605E5C"/>
      <w:shd w:val="clear" w:color="auto" w:fill="E1DFDD"/>
    </w:rPr>
  </w:style>
  <w:style w:type="character" w:customStyle="1" w:styleId="23">
    <w:name w:val="标题 字符"/>
    <w:basedOn w:val="10"/>
    <w:link w:val="8"/>
    <w:autoRedefine/>
    <w:qFormat/>
    <w:uiPriority w:val="10"/>
    <w:rPr>
      <w:rFonts w:eastAsia="方正楷体_GBK" w:asciiTheme="majorHAnsi" w:hAnsiTheme="majorHAnsi" w:cstheme="majorBidi"/>
      <w:bCs/>
      <w:sz w:val="32"/>
      <w:szCs w:val="32"/>
      <w:lang w:val="en-G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671</Words>
  <Characters>3827</Characters>
  <Lines>31</Lines>
  <Paragraphs>8</Paragraphs>
  <TotalTime>0</TotalTime>
  <ScaleCrop>false</ScaleCrop>
  <LinksUpToDate>false</LinksUpToDate>
  <CharactersWithSpaces>4490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2024-03-31T04:46:00Z</dcterms:created>
  <dc:creator>张 斌</dc:creator>
  <cp:lastModifiedBy>朱赫</cp:lastModifiedBy>
  <cp:lastPrinted>2023-02-10T11:47:00Z</cp:lastPrinted>
  <dcterms:modified xsi:type="dcterms:W3CDTF">2024-04-17T00:49:46Z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1D8E453A2B7B41B1AB66A9F8F2420376_13</vt:lpwstr>
  </property>
</Properties>
</file>