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rPr>
      </w:pPr>
      <w:r>
        <w:rPr>
          <w:rFonts w:hint="eastAsia"/>
          <w:b/>
          <w:sz w:val="32"/>
        </w:rPr>
        <w:t>浙江大学公共管理学科优秀博士学位论文评选细则</w:t>
      </w:r>
    </w:p>
    <w:p>
      <w:pPr>
        <w:ind w:firstLine="640" w:firstLineChars="200"/>
        <w:rPr>
          <w:rFonts w:ascii="仿宋" w:hAnsi="仿宋" w:eastAsia="仿宋" w:cs="Arial"/>
          <w:sz w:val="32"/>
          <w:szCs w:val="32"/>
        </w:rPr>
      </w:pPr>
      <w:r>
        <w:rPr>
          <w:rFonts w:ascii="仿宋" w:hAnsi="仿宋" w:eastAsia="仿宋" w:cs="Arial"/>
          <w:sz w:val="32"/>
          <w:szCs w:val="32"/>
        </w:rPr>
        <w:t>根据《</w:t>
      </w:r>
      <w:r>
        <w:rPr>
          <w:rFonts w:hint="eastAsia" w:ascii="仿宋" w:hAnsi="仿宋" w:eastAsia="仿宋" w:cs="Arial"/>
          <w:sz w:val="32"/>
          <w:szCs w:val="32"/>
        </w:rPr>
        <w:t>浙江大学优秀博士学位论文评选办法（暂行）</w:t>
      </w:r>
      <w:r>
        <w:rPr>
          <w:rFonts w:ascii="仿宋" w:hAnsi="仿宋" w:eastAsia="仿宋" w:cs="Arial"/>
          <w:sz w:val="32"/>
          <w:szCs w:val="32"/>
        </w:rPr>
        <w:t>》</w:t>
      </w:r>
      <w:r>
        <w:rPr>
          <w:rFonts w:hint="eastAsia" w:ascii="仿宋" w:hAnsi="仿宋" w:eastAsia="仿宋" w:cs="Arial"/>
          <w:sz w:val="32"/>
          <w:szCs w:val="32"/>
        </w:rPr>
        <w:t>【浙大发研[2015]99号】</w:t>
      </w:r>
      <w:r>
        <w:rPr>
          <w:rFonts w:ascii="仿宋" w:hAnsi="仿宋" w:eastAsia="仿宋" w:cs="Arial"/>
          <w:sz w:val="32"/>
          <w:szCs w:val="32"/>
        </w:rPr>
        <w:t>的文件精神和要求，</w:t>
      </w:r>
      <w:r>
        <w:rPr>
          <w:rFonts w:hint="eastAsia" w:ascii="仿宋" w:hAnsi="仿宋" w:eastAsia="仿宋" w:cs="Arial"/>
          <w:sz w:val="32"/>
          <w:szCs w:val="32"/>
        </w:rPr>
        <w:t>公共管理学科结合实际制定本学科博士学位论文评审细则。</w:t>
      </w:r>
    </w:p>
    <w:p>
      <w:pPr>
        <w:spacing w:before="312" w:beforeLines="100" w:after="156" w:afterLines="50" w:line="600" w:lineRule="exact"/>
        <w:rPr>
          <w:rFonts w:ascii="黑体" w:hAnsi="黑体" w:eastAsia="黑体" w:cs="黑体"/>
          <w:bCs/>
          <w:sz w:val="32"/>
          <w:szCs w:val="32"/>
        </w:rPr>
      </w:pPr>
      <w:r>
        <w:rPr>
          <w:rFonts w:hint="eastAsia" w:ascii="黑体" w:hAnsi="黑体" w:eastAsia="黑体" w:cs="黑体"/>
          <w:bCs/>
          <w:sz w:val="32"/>
          <w:szCs w:val="32"/>
        </w:rPr>
        <w:t>一 评选时间及范围</w:t>
      </w:r>
    </w:p>
    <w:p>
      <w:pPr>
        <w:spacing w:line="600" w:lineRule="exact"/>
        <w:ind w:firstLine="560"/>
        <w:rPr>
          <w:rFonts w:ascii="Times New Roman" w:hAnsi="Times New Roman" w:eastAsia="仿宋_GB2312" w:cs="Times New Roman"/>
          <w:sz w:val="32"/>
          <w:szCs w:val="32"/>
        </w:rPr>
      </w:pPr>
      <w:r>
        <w:rPr>
          <w:rFonts w:ascii="Times New Roman" w:hAnsi="Times New Roman" w:eastAsia="仿宋_GB2312" w:cs="Times New Roman"/>
          <w:sz w:val="32"/>
          <w:szCs w:val="32"/>
        </w:rPr>
        <w:t>优博论文评选每学年进行一次，评选范围一般为上一学年获得学校博士学位者</w:t>
      </w:r>
      <w:r>
        <w:rPr>
          <w:rFonts w:hint="eastAsia" w:ascii="Times New Roman" w:hAnsi="Times New Roman" w:eastAsia="仿宋_GB2312" w:cs="Times New Roman"/>
          <w:sz w:val="32"/>
          <w:szCs w:val="32"/>
        </w:rPr>
        <w:t>（含同等学力）</w:t>
      </w:r>
      <w:r>
        <w:rPr>
          <w:rFonts w:ascii="Times New Roman" w:hAnsi="Times New Roman" w:eastAsia="仿宋_GB2312" w:cs="Times New Roman"/>
          <w:sz w:val="32"/>
          <w:szCs w:val="32"/>
        </w:rPr>
        <w:t>的学位论文。</w:t>
      </w:r>
      <w:r>
        <w:rPr>
          <w:rFonts w:hint="eastAsia" w:ascii="Times New Roman" w:hAnsi="Times New Roman" w:eastAsia="仿宋_GB2312" w:cs="Times New Roman"/>
          <w:sz w:val="32"/>
          <w:szCs w:val="32"/>
        </w:rPr>
        <w:t>具体时间详见当年学院网站通知。</w:t>
      </w:r>
    </w:p>
    <w:p>
      <w:pPr>
        <w:spacing w:line="600" w:lineRule="exact"/>
        <w:ind w:firstLine="56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下列博士学位论文不参加评选：</w:t>
      </w:r>
    </w:p>
    <w:p>
      <w:pPr>
        <w:pStyle w:val="7"/>
        <w:numPr>
          <w:ilvl w:val="0"/>
          <w:numId w:val="1"/>
        </w:numPr>
        <w:spacing w:line="600" w:lineRule="exact"/>
        <w:ind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涉密博士学位论文；</w:t>
      </w:r>
    </w:p>
    <w:p>
      <w:pPr>
        <w:pStyle w:val="7"/>
        <w:numPr>
          <w:ilvl w:val="0"/>
          <w:numId w:val="1"/>
        </w:numPr>
        <w:spacing w:line="600" w:lineRule="exact"/>
        <w:ind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尚在暂缓送交收藏单位期限内的博士学位论文；</w:t>
      </w:r>
    </w:p>
    <w:p>
      <w:pPr>
        <w:pStyle w:val="7"/>
        <w:numPr>
          <w:ilvl w:val="0"/>
          <w:numId w:val="1"/>
        </w:numPr>
        <w:spacing w:line="600" w:lineRule="exact"/>
        <w:ind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学位论文答辩前已经获得副高及以上职称的作者所撰写的博士学位论文。</w:t>
      </w:r>
    </w:p>
    <w:p>
      <w:pPr>
        <w:spacing w:line="600" w:lineRule="exact"/>
        <w:rPr>
          <w:rFonts w:ascii="黑体" w:hAnsi="黑体" w:eastAsia="黑体" w:cs="黑体"/>
          <w:bCs/>
          <w:sz w:val="32"/>
          <w:szCs w:val="32"/>
        </w:rPr>
      </w:pPr>
      <w:r>
        <w:rPr>
          <w:rFonts w:hint="eastAsia" w:ascii="黑体" w:hAnsi="黑体" w:eastAsia="黑体" w:cs="黑体"/>
          <w:bCs/>
          <w:sz w:val="32"/>
          <w:szCs w:val="32"/>
        </w:rPr>
        <w:t>二 参评条件</w:t>
      </w:r>
    </w:p>
    <w:p>
      <w:pPr>
        <w:spacing w:line="600" w:lineRule="exact"/>
        <w:ind w:firstLine="560"/>
        <w:rPr>
          <w:rFonts w:ascii="Times New Roman" w:hAnsi="Times New Roman" w:eastAsia="仿宋_GB2312" w:cs="Times New Roman"/>
          <w:sz w:val="32"/>
          <w:szCs w:val="32"/>
        </w:rPr>
      </w:pPr>
      <w:r>
        <w:rPr>
          <w:rFonts w:ascii="Times New Roman" w:hAnsi="Times New Roman" w:eastAsia="仿宋_GB2312" w:cs="Times New Roman"/>
          <w:sz w:val="32"/>
          <w:szCs w:val="32"/>
        </w:rPr>
        <w:t>具备以下4个条件，方可参评优博论文，具体如下：</w:t>
      </w:r>
    </w:p>
    <w:p>
      <w:pPr>
        <w:tabs>
          <w:tab w:val="left" w:pos="540"/>
        </w:tabs>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论文的选题为本学科前沿，具有重要理论意义或现实意义；</w:t>
      </w:r>
    </w:p>
    <w:p>
      <w:pPr>
        <w:tabs>
          <w:tab w:val="left" w:pos="540"/>
        </w:tabs>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论文的研究成果在理论或方法上有创新，达到同类学科的国内领先水平或国际先进水平，具有较好的社会效益或应用前景；</w:t>
      </w:r>
    </w:p>
    <w:p>
      <w:pPr>
        <w:tabs>
          <w:tab w:val="left" w:pos="540"/>
        </w:tabs>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论文撰写符合学术规范要求，材料翔实，推理严密，文字表达准确；</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学位论文在评阅中原则上要求获得4名及以上专家评判为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优秀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（A）。</w:t>
      </w:r>
      <w:bookmarkStart w:id="0" w:name="_GoBack"/>
      <w:bookmarkEnd w:id="0"/>
    </w:p>
    <w:p>
      <w:pPr>
        <w:spacing w:before="312" w:beforeLines="100" w:after="156" w:afterLines="50" w:line="600" w:lineRule="exact"/>
        <w:rPr>
          <w:rFonts w:ascii="黑体" w:hAnsi="黑体" w:eastAsia="黑体" w:cs="黑体"/>
          <w:bCs/>
          <w:sz w:val="32"/>
          <w:szCs w:val="32"/>
        </w:rPr>
      </w:pPr>
      <w:r>
        <w:rPr>
          <w:rFonts w:hint="eastAsia" w:ascii="黑体" w:hAnsi="黑体" w:eastAsia="黑体" w:cs="黑体"/>
          <w:bCs/>
          <w:sz w:val="32"/>
          <w:szCs w:val="32"/>
        </w:rPr>
        <w:t>三</w:t>
      </w:r>
      <w:r>
        <w:rPr>
          <w:rFonts w:ascii="黑体" w:hAnsi="黑体" w:eastAsia="黑体" w:cs="黑体"/>
          <w:bCs/>
          <w:sz w:val="32"/>
          <w:szCs w:val="32"/>
        </w:rPr>
        <w:t xml:space="preserve"> 评选</w:t>
      </w:r>
      <w:r>
        <w:rPr>
          <w:rFonts w:hint="eastAsia" w:ascii="黑体" w:hAnsi="黑体" w:eastAsia="黑体" w:cs="黑体"/>
          <w:bCs/>
          <w:sz w:val="32"/>
          <w:szCs w:val="32"/>
        </w:rPr>
        <w:t>程序</w:t>
      </w:r>
    </w:p>
    <w:p>
      <w:pPr>
        <w:spacing w:line="600" w:lineRule="exact"/>
        <w:ind w:firstLine="560"/>
        <w:rPr>
          <w:rFonts w:eastAsia="仿宋_GB2312"/>
          <w:sz w:val="32"/>
          <w:szCs w:val="32"/>
        </w:rPr>
      </w:pPr>
      <w:r>
        <w:rPr>
          <w:rFonts w:hint="eastAsia" w:ascii="Times New Roman" w:hAnsi="Times New Roman" w:eastAsia="仿宋_GB2312" w:cs="Times New Roman"/>
          <w:sz w:val="32"/>
          <w:szCs w:val="32"/>
        </w:rPr>
        <w:t>（一）</w:t>
      </w:r>
      <w:r>
        <w:rPr>
          <w:rFonts w:eastAsia="仿宋_GB2312"/>
          <w:sz w:val="32"/>
          <w:szCs w:val="32"/>
        </w:rPr>
        <w:t>优博论文评选工作遵循</w:t>
      </w:r>
      <w:r>
        <w:rPr>
          <w:rFonts w:hint="eastAsia" w:eastAsia="仿宋_GB2312"/>
          <w:sz w:val="32"/>
          <w:szCs w:val="32"/>
        </w:rPr>
        <w:t>“</w:t>
      </w:r>
      <w:r>
        <w:rPr>
          <w:rFonts w:eastAsia="仿宋_GB2312"/>
          <w:sz w:val="32"/>
          <w:szCs w:val="32"/>
        </w:rPr>
        <w:t>科学公正、质量优先”的原则。</w:t>
      </w:r>
    </w:p>
    <w:p>
      <w:pPr>
        <w:spacing w:line="600" w:lineRule="exact"/>
        <w:ind w:firstLine="560"/>
        <w:rPr>
          <w:rFonts w:eastAsia="仿宋_GB2312"/>
          <w:sz w:val="32"/>
          <w:szCs w:val="32"/>
        </w:rPr>
      </w:pPr>
      <w:r>
        <w:rPr>
          <w:rFonts w:hint="eastAsia" w:ascii="Times New Roman" w:hAnsi="Times New Roman" w:eastAsia="仿宋_GB2312" w:cs="Times New Roman"/>
          <w:sz w:val="32"/>
          <w:szCs w:val="32"/>
        </w:rPr>
        <w:t>（二）</w:t>
      </w:r>
      <w:r>
        <w:rPr>
          <w:rFonts w:hint="eastAsia" w:eastAsia="仿宋_GB2312"/>
          <w:sz w:val="32"/>
          <w:szCs w:val="32"/>
        </w:rPr>
        <w:t>优博论文可由学位论文作者自荐，或由其导师提出，并在学院规定时间内提交相应材料至学院研究生管理办公室。</w:t>
      </w:r>
    </w:p>
    <w:p>
      <w:pPr>
        <w:spacing w:line="600" w:lineRule="exact"/>
        <w:ind w:firstLine="560"/>
        <w:rPr>
          <w:rFonts w:eastAsia="仿宋_GB2312"/>
          <w:sz w:val="32"/>
          <w:szCs w:val="32"/>
        </w:rPr>
      </w:pPr>
      <w:r>
        <w:rPr>
          <w:rFonts w:hint="eastAsia" w:ascii="Times New Roman" w:hAnsi="Times New Roman" w:eastAsia="仿宋_GB2312" w:cs="Times New Roman"/>
          <w:sz w:val="32"/>
          <w:szCs w:val="32"/>
        </w:rPr>
        <w:t xml:space="preserve">（三） </w:t>
      </w:r>
      <w:r>
        <w:rPr>
          <w:rFonts w:hint="eastAsia" w:eastAsia="仿宋_GB2312"/>
          <w:sz w:val="32"/>
          <w:szCs w:val="32"/>
        </w:rPr>
        <w:t>研究生管理办公室汇集申请材料，交由</w:t>
      </w:r>
      <w:r>
        <w:rPr>
          <w:rFonts w:eastAsia="仿宋_GB2312"/>
          <w:sz w:val="32"/>
          <w:szCs w:val="32"/>
        </w:rPr>
        <w:t>学科学位评定委员会</w:t>
      </w:r>
      <w:r>
        <w:rPr>
          <w:rFonts w:hint="eastAsia" w:eastAsia="仿宋_GB2312"/>
          <w:sz w:val="32"/>
          <w:szCs w:val="32"/>
        </w:rPr>
        <w:t>进行初评。初评程序包含两个环节：一是优博论文申请者的公开论文报告及交流，二是学科学位评定委员会投票表决，由得票数及名额决定是否向社会科学学部委员会推荐优博论文。</w:t>
      </w:r>
      <w:r>
        <w:rPr>
          <w:rFonts w:eastAsia="仿宋_GB2312"/>
          <w:sz w:val="32"/>
          <w:szCs w:val="32"/>
        </w:rPr>
        <w:t>推荐名额一般不超过本学科学位评定委员会参评年度博士学位授予人数的</w:t>
      </w:r>
      <w:r>
        <w:rPr>
          <w:rFonts w:eastAsia="仿宋_GB2312"/>
          <w:color w:val="FF0000"/>
          <w:sz w:val="32"/>
          <w:szCs w:val="32"/>
        </w:rPr>
        <w:t>5%</w:t>
      </w:r>
      <w:r>
        <w:rPr>
          <w:rFonts w:eastAsia="仿宋_GB2312"/>
          <w:sz w:val="32"/>
          <w:szCs w:val="32"/>
        </w:rPr>
        <w:t>。</w:t>
      </w:r>
    </w:p>
    <w:p>
      <w:pPr>
        <w:spacing w:line="600" w:lineRule="exact"/>
        <w:ind w:firstLine="560"/>
        <w:rPr>
          <w:rFonts w:eastAsia="仿宋_GB2312"/>
          <w:sz w:val="32"/>
          <w:szCs w:val="32"/>
        </w:rPr>
      </w:pPr>
      <w:r>
        <w:rPr>
          <w:rFonts w:hint="eastAsia" w:eastAsia="仿宋_GB2312"/>
          <w:sz w:val="32"/>
          <w:szCs w:val="32"/>
        </w:rPr>
        <w:t>（四）将学科学位评定委员会产生的推荐名单报送社会科学学部进行复评。</w:t>
      </w:r>
    </w:p>
    <w:p>
      <w:pPr>
        <w:spacing w:line="600" w:lineRule="exact"/>
        <w:rPr>
          <w:rFonts w:eastAsia="仿宋_GB2312"/>
          <w:sz w:val="32"/>
          <w:szCs w:val="32"/>
        </w:rPr>
      </w:pPr>
    </w:p>
    <w:p>
      <w:pPr>
        <w:spacing w:line="600" w:lineRule="exact"/>
        <w:rPr>
          <w:rFonts w:ascii="黑体" w:hAnsi="黑体" w:eastAsia="黑体" w:cs="黑体"/>
          <w:bCs/>
          <w:sz w:val="32"/>
          <w:szCs w:val="32"/>
        </w:rPr>
      </w:pPr>
      <w:r>
        <w:rPr>
          <w:rFonts w:hint="eastAsia" w:ascii="黑体" w:hAnsi="黑体" w:eastAsia="黑体" w:cs="黑体"/>
          <w:bCs/>
          <w:sz w:val="32"/>
          <w:szCs w:val="32"/>
        </w:rPr>
        <w:t>四</w:t>
      </w:r>
      <w:r>
        <w:rPr>
          <w:rFonts w:ascii="黑体" w:hAnsi="黑体" w:eastAsia="黑体" w:cs="黑体"/>
          <w:bCs/>
          <w:sz w:val="32"/>
          <w:szCs w:val="32"/>
        </w:rPr>
        <w:t xml:space="preserve"> </w:t>
      </w:r>
      <w:r>
        <w:rPr>
          <w:rFonts w:hint="eastAsia" w:ascii="黑体" w:hAnsi="黑体" w:eastAsia="黑体" w:cs="黑体"/>
          <w:bCs/>
          <w:sz w:val="32"/>
          <w:szCs w:val="32"/>
        </w:rPr>
        <w:t>申报材料与时间安排</w:t>
      </w:r>
    </w:p>
    <w:p>
      <w:pPr>
        <w:pStyle w:val="7"/>
        <w:numPr>
          <w:ilvl w:val="0"/>
          <w:numId w:val="2"/>
        </w:numPr>
        <w:spacing w:line="600" w:lineRule="exact"/>
        <w:ind w:firstLineChars="0"/>
        <w:rPr>
          <w:rFonts w:ascii="黑体" w:hAnsi="黑体" w:eastAsia="黑体" w:cs="黑体"/>
          <w:bCs/>
          <w:sz w:val="32"/>
          <w:szCs w:val="32"/>
        </w:rPr>
      </w:pPr>
      <w:r>
        <w:rPr>
          <w:rFonts w:hint="eastAsia" w:ascii="黑体" w:hAnsi="黑体" w:eastAsia="黑体" w:cs="黑体"/>
          <w:bCs/>
          <w:sz w:val="32"/>
          <w:szCs w:val="32"/>
        </w:rPr>
        <w:t>纸质材料要求</w:t>
      </w:r>
    </w:p>
    <w:p>
      <w:pPr>
        <w:pStyle w:val="7"/>
        <w:numPr>
          <w:ilvl w:val="0"/>
          <w:numId w:val="3"/>
        </w:numPr>
        <w:spacing w:line="600" w:lineRule="exact"/>
        <w:ind w:firstLineChars="0"/>
        <w:rPr>
          <w:rFonts w:eastAsia="仿宋_GB2312"/>
          <w:sz w:val="32"/>
          <w:szCs w:val="32"/>
        </w:rPr>
      </w:pPr>
      <w:r>
        <w:rPr>
          <w:rFonts w:hint="eastAsia" w:eastAsia="仿宋_GB2312"/>
          <w:sz w:val="32"/>
          <w:szCs w:val="32"/>
        </w:rPr>
        <w:t>优秀博士学位论文推荐表</w:t>
      </w:r>
    </w:p>
    <w:p>
      <w:pPr>
        <w:pStyle w:val="7"/>
        <w:numPr>
          <w:ilvl w:val="0"/>
          <w:numId w:val="3"/>
        </w:numPr>
        <w:spacing w:line="600" w:lineRule="exact"/>
        <w:ind w:firstLineChars="0"/>
        <w:rPr>
          <w:rFonts w:eastAsia="仿宋_GB2312"/>
          <w:sz w:val="32"/>
          <w:szCs w:val="32"/>
        </w:rPr>
      </w:pPr>
      <w:r>
        <w:rPr>
          <w:rFonts w:hint="eastAsia" w:eastAsia="仿宋_GB2312"/>
          <w:sz w:val="32"/>
          <w:szCs w:val="32"/>
        </w:rPr>
        <w:t>博士学位论文</w:t>
      </w:r>
    </w:p>
    <w:p>
      <w:pPr>
        <w:pStyle w:val="7"/>
        <w:numPr>
          <w:ilvl w:val="0"/>
          <w:numId w:val="3"/>
        </w:numPr>
        <w:spacing w:line="600" w:lineRule="exact"/>
        <w:ind w:firstLineChars="0"/>
        <w:rPr>
          <w:rFonts w:eastAsia="仿宋_GB2312"/>
          <w:sz w:val="32"/>
          <w:szCs w:val="32"/>
        </w:rPr>
      </w:pPr>
      <w:r>
        <w:rPr>
          <w:rFonts w:hint="eastAsia" w:eastAsia="仿宋_GB2312"/>
          <w:sz w:val="32"/>
          <w:szCs w:val="32"/>
        </w:rPr>
        <w:t>代表性成果证明材料。</w:t>
      </w:r>
    </w:p>
    <w:p>
      <w:pPr>
        <w:spacing w:line="600" w:lineRule="exact"/>
        <w:ind w:left="480" w:firstLine="320" w:firstLineChars="100"/>
        <w:rPr>
          <w:rFonts w:eastAsia="仿宋_GB2312"/>
          <w:sz w:val="32"/>
          <w:szCs w:val="32"/>
        </w:rPr>
      </w:pPr>
      <w:r>
        <w:rPr>
          <w:rFonts w:hint="eastAsia" w:eastAsia="仿宋_GB2312"/>
          <w:sz w:val="32"/>
          <w:szCs w:val="32"/>
        </w:rPr>
        <w:t>代表性成果证明材料应单独装订，材料顺序与推荐表中的顺序一致。成果若为公开发表的学术论文，证明材料须提供刊物封面、目录及学术论文复印件；若为公开出版发行的专著，只须提供封面和版权页复印件；若为审批后的奖励或专利，只需提供获奖证书或专利证书复印件；与之无关的其余材料不要放入。</w:t>
      </w:r>
    </w:p>
    <w:p>
      <w:pPr>
        <w:spacing w:line="600" w:lineRule="exact"/>
        <w:ind w:left="480" w:firstLine="320" w:firstLineChars="100"/>
        <w:rPr>
          <w:rFonts w:ascii="黑体" w:hAnsi="黑体" w:eastAsia="黑体" w:cs="黑体"/>
          <w:bCs/>
          <w:sz w:val="32"/>
          <w:szCs w:val="32"/>
        </w:rPr>
      </w:pPr>
      <w:r>
        <w:rPr>
          <w:rFonts w:hint="eastAsia" w:ascii="黑体" w:hAnsi="黑体" w:eastAsia="黑体" w:cs="黑体"/>
          <w:bCs/>
          <w:sz w:val="32"/>
          <w:szCs w:val="32"/>
        </w:rPr>
        <w:t>（二）电子材料要求</w:t>
      </w:r>
    </w:p>
    <w:p>
      <w:pPr>
        <w:rPr>
          <w:rFonts w:eastAsia="仿宋_GB2312"/>
          <w:sz w:val="32"/>
          <w:szCs w:val="32"/>
        </w:rPr>
      </w:pPr>
      <w:r>
        <w:rPr>
          <w:rFonts w:hint="eastAsia"/>
          <w:b/>
          <w:sz w:val="28"/>
        </w:rPr>
        <w:t xml:space="preserve">    </w:t>
      </w:r>
      <w:r>
        <w:rPr>
          <w:rFonts w:hint="eastAsia" w:eastAsia="仿宋_GB2312"/>
          <w:sz w:val="32"/>
          <w:szCs w:val="32"/>
        </w:rPr>
        <w:t xml:space="preserve"> 同纸质材料一致，发送至：</w:t>
      </w:r>
      <w:r>
        <w:fldChar w:fldCharType="begin"/>
      </w:r>
      <w:r>
        <w:instrText xml:space="preserve"> HYPERLINK "mailto:ggyjs@zju.edu.cn" </w:instrText>
      </w:r>
      <w:r>
        <w:fldChar w:fldCharType="separate"/>
      </w:r>
      <w:r>
        <w:rPr>
          <w:rStyle w:val="5"/>
          <w:rFonts w:hint="eastAsia" w:eastAsia="仿宋_GB2312"/>
          <w:sz w:val="32"/>
          <w:szCs w:val="32"/>
        </w:rPr>
        <w:t>ggyjs@zju.edu.cn</w:t>
      </w:r>
      <w:r>
        <w:rPr>
          <w:rStyle w:val="5"/>
          <w:rFonts w:hint="eastAsia" w:eastAsia="仿宋_GB2312"/>
          <w:sz w:val="32"/>
          <w:szCs w:val="32"/>
        </w:rPr>
        <w:fldChar w:fldCharType="end"/>
      </w:r>
    </w:p>
    <w:p>
      <w:pPr>
        <w:rPr>
          <w:rFonts w:eastAsia="仿宋_GB2312"/>
          <w:sz w:val="32"/>
          <w:szCs w:val="32"/>
        </w:rPr>
      </w:pPr>
      <w:r>
        <w:rPr>
          <w:rFonts w:hint="eastAsia" w:eastAsia="仿宋_GB2312"/>
          <w:sz w:val="32"/>
          <w:szCs w:val="32"/>
        </w:rPr>
        <w:t xml:space="preserve">     （三）时间安排</w:t>
      </w:r>
    </w:p>
    <w:p>
      <w:pPr>
        <w:rPr>
          <w:rFonts w:eastAsia="仿宋_GB2312"/>
          <w:sz w:val="32"/>
          <w:szCs w:val="32"/>
        </w:rPr>
      </w:pPr>
      <w:r>
        <w:rPr>
          <w:rFonts w:hint="eastAsia" w:eastAsia="仿宋_GB2312"/>
          <w:sz w:val="32"/>
          <w:szCs w:val="32"/>
        </w:rPr>
        <w:t xml:space="preserve">    详见当年学院网站通知。</w:t>
      </w:r>
    </w:p>
    <w:p>
      <w:pPr>
        <w:rPr>
          <w:rFonts w:eastAsia="仿宋_GB2312"/>
          <w:sz w:val="32"/>
          <w:szCs w:val="32"/>
        </w:rPr>
      </w:pPr>
    </w:p>
    <w:p>
      <w:pPr>
        <w:rPr>
          <w:rFonts w:eastAsia="仿宋_GB2312"/>
          <w:sz w:val="32"/>
          <w:szCs w:val="32"/>
        </w:rPr>
      </w:pPr>
      <w:r>
        <w:rPr>
          <w:rFonts w:hint="eastAsia" w:eastAsia="仿宋_GB2312"/>
          <w:sz w:val="32"/>
          <w:szCs w:val="32"/>
        </w:rPr>
        <w:t>附件：</w:t>
      </w:r>
    </w:p>
    <w:p>
      <w:pPr>
        <w:pStyle w:val="7"/>
        <w:numPr>
          <w:ilvl w:val="0"/>
          <w:numId w:val="4"/>
        </w:numPr>
        <w:ind w:firstLineChars="0"/>
        <w:rPr>
          <w:rFonts w:eastAsia="仿宋_GB2312"/>
          <w:sz w:val="32"/>
          <w:szCs w:val="32"/>
        </w:rPr>
      </w:pPr>
      <w:r>
        <w:rPr>
          <w:rFonts w:hint="eastAsia" w:eastAsia="仿宋_GB2312"/>
          <w:sz w:val="32"/>
          <w:szCs w:val="32"/>
        </w:rPr>
        <w:t>优秀博士学位论文推荐表</w:t>
      </w:r>
    </w:p>
    <w:p>
      <w:pPr>
        <w:pStyle w:val="7"/>
        <w:numPr>
          <w:ilvl w:val="0"/>
          <w:numId w:val="4"/>
        </w:numPr>
        <w:ind w:firstLineChars="0"/>
        <w:rPr>
          <w:rFonts w:eastAsia="仿宋_GB2312"/>
          <w:sz w:val="32"/>
          <w:szCs w:val="32"/>
        </w:rPr>
      </w:pPr>
      <w:r>
        <w:rPr>
          <w:rFonts w:hint="eastAsia" w:eastAsia="仿宋_GB2312"/>
          <w:sz w:val="32"/>
          <w:szCs w:val="32"/>
        </w:rPr>
        <w:t>代表性成果证明材料</w:t>
      </w:r>
    </w:p>
    <w:p>
      <w:pPr>
        <w:rPr>
          <w:rFonts w:eastAsia="仿宋_GB2312"/>
          <w:sz w:val="32"/>
          <w:szCs w:val="32"/>
        </w:rPr>
      </w:pPr>
      <w:r>
        <w:rPr>
          <w:rFonts w:hint="eastAsia" w:eastAsia="仿宋_GB2312"/>
          <w:sz w:val="32"/>
          <w:szCs w:val="32"/>
        </w:rPr>
        <w:t xml:space="preserve">                           </w:t>
      </w:r>
    </w:p>
    <w:p>
      <w:pPr>
        <w:rPr>
          <w:rFonts w:eastAsia="仿宋_GB2312"/>
          <w:sz w:val="32"/>
          <w:szCs w:val="32"/>
        </w:rPr>
      </w:pPr>
    </w:p>
    <w:p>
      <w:pPr>
        <w:rPr>
          <w:rFonts w:eastAsia="仿宋_GB2312"/>
          <w:sz w:val="32"/>
          <w:szCs w:val="32"/>
        </w:rPr>
      </w:pPr>
    </w:p>
    <w:p>
      <w:pPr>
        <w:rPr>
          <w:rFonts w:eastAsia="仿宋_GB2312"/>
          <w:sz w:val="32"/>
          <w:szCs w:val="32"/>
        </w:rPr>
      </w:pPr>
      <w:r>
        <w:rPr>
          <w:rFonts w:hint="eastAsia" w:eastAsia="仿宋_GB2312"/>
          <w:sz w:val="32"/>
          <w:szCs w:val="32"/>
        </w:rPr>
        <w:t xml:space="preserve">                             公共管理学科学位委员会</w:t>
      </w:r>
    </w:p>
    <w:p>
      <w:pPr>
        <w:rPr>
          <w:rFonts w:eastAsia="仿宋_GB2312"/>
          <w:sz w:val="32"/>
          <w:szCs w:val="32"/>
        </w:rPr>
      </w:pPr>
      <w:r>
        <w:rPr>
          <w:rFonts w:hint="eastAsia" w:eastAsia="仿宋_GB2312"/>
          <w:sz w:val="32"/>
          <w:szCs w:val="32"/>
        </w:rPr>
        <w:t xml:space="preserve">                                 2016年</w:t>
      </w:r>
      <w:r>
        <w:rPr>
          <w:rFonts w:eastAsia="仿宋_GB2312"/>
          <w:sz w:val="32"/>
          <w:szCs w:val="32"/>
        </w:rPr>
        <w:t>2</w:t>
      </w:r>
      <w:r>
        <w:rPr>
          <w:rFonts w:hint="eastAsia" w:eastAsia="仿宋_GB2312"/>
          <w:sz w:val="32"/>
          <w:szCs w:val="32"/>
        </w:rPr>
        <w:t>月2</w:t>
      </w:r>
      <w:r>
        <w:rPr>
          <w:rFonts w:eastAsia="仿宋_GB2312"/>
          <w:sz w:val="32"/>
          <w:szCs w:val="32"/>
        </w:rPr>
        <w:t>9</w:t>
      </w:r>
      <w:r>
        <w:rPr>
          <w:rFonts w:hint="eastAsia" w:eastAsia="仿宋_GB2312"/>
          <w:sz w:val="32"/>
          <w:szCs w:val="32"/>
        </w:rPr>
        <w:t>日</w:t>
      </w:r>
    </w:p>
    <w:p>
      <w:pPr>
        <w:rPr>
          <w:rFonts w:eastAsia="仿宋_GB2312"/>
          <w:sz w:val="32"/>
          <w:szCs w:val="32"/>
        </w:rPr>
      </w:pPr>
    </w:p>
    <w:p>
      <w:pPr>
        <w:rPr>
          <w:rFonts w:eastAsia="仿宋_GB2312"/>
          <w:sz w:val="32"/>
          <w:szCs w:val="32"/>
        </w:rPr>
      </w:pPr>
    </w:p>
    <w:p>
      <w:pPr>
        <w:rPr>
          <w:b/>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方正舒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51476"/>
    <w:multiLevelType w:val="multilevel"/>
    <w:tmpl w:val="17C51476"/>
    <w:lvl w:ilvl="0" w:tentative="0">
      <w:start w:val="1"/>
      <w:numFmt w:val="japaneseCounting"/>
      <w:lvlText w:val="（%1）"/>
      <w:lvlJc w:val="left"/>
      <w:pPr>
        <w:ind w:left="1640" w:hanging="108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237A49E9"/>
    <w:multiLevelType w:val="multilevel"/>
    <w:tmpl w:val="237A49E9"/>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6FE6881"/>
    <w:multiLevelType w:val="multilevel"/>
    <w:tmpl w:val="36FE688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3EA26B6"/>
    <w:multiLevelType w:val="multilevel"/>
    <w:tmpl w:val="73EA26B6"/>
    <w:lvl w:ilvl="0" w:tentative="0">
      <w:start w:val="1"/>
      <w:numFmt w:val="japaneseCounting"/>
      <w:lvlText w:val="（%1）"/>
      <w:lvlJc w:val="left"/>
      <w:pPr>
        <w:ind w:left="1560" w:hanging="10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A0F"/>
    <w:rsid w:val="00153943"/>
    <w:rsid w:val="00167A5F"/>
    <w:rsid w:val="001B531E"/>
    <w:rsid w:val="001E131A"/>
    <w:rsid w:val="001F3F60"/>
    <w:rsid w:val="0023044C"/>
    <w:rsid w:val="00252922"/>
    <w:rsid w:val="00295AA4"/>
    <w:rsid w:val="002E7A0F"/>
    <w:rsid w:val="0034150A"/>
    <w:rsid w:val="00376D85"/>
    <w:rsid w:val="003E15EE"/>
    <w:rsid w:val="00425E57"/>
    <w:rsid w:val="00456749"/>
    <w:rsid w:val="00456F7E"/>
    <w:rsid w:val="00496D2D"/>
    <w:rsid w:val="004D0EDF"/>
    <w:rsid w:val="004D524A"/>
    <w:rsid w:val="004F6A04"/>
    <w:rsid w:val="0051271A"/>
    <w:rsid w:val="005713D7"/>
    <w:rsid w:val="0058548B"/>
    <w:rsid w:val="005A66FD"/>
    <w:rsid w:val="005C6CF1"/>
    <w:rsid w:val="005E6C3A"/>
    <w:rsid w:val="006064F3"/>
    <w:rsid w:val="00656036"/>
    <w:rsid w:val="00666F70"/>
    <w:rsid w:val="006C3D4C"/>
    <w:rsid w:val="006E2F91"/>
    <w:rsid w:val="007021A6"/>
    <w:rsid w:val="00754183"/>
    <w:rsid w:val="008076E5"/>
    <w:rsid w:val="00853FD3"/>
    <w:rsid w:val="00931CCF"/>
    <w:rsid w:val="00931EE3"/>
    <w:rsid w:val="00933885"/>
    <w:rsid w:val="009359BD"/>
    <w:rsid w:val="009905E7"/>
    <w:rsid w:val="009A39B5"/>
    <w:rsid w:val="009C1242"/>
    <w:rsid w:val="009F1A92"/>
    <w:rsid w:val="00A07B53"/>
    <w:rsid w:val="00A50A02"/>
    <w:rsid w:val="00A90445"/>
    <w:rsid w:val="00A927C4"/>
    <w:rsid w:val="00A977B3"/>
    <w:rsid w:val="00AA0A93"/>
    <w:rsid w:val="00B868C8"/>
    <w:rsid w:val="00C25AAA"/>
    <w:rsid w:val="00C35EAC"/>
    <w:rsid w:val="00C9141C"/>
    <w:rsid w:val="00CA5E24"/>
    <w:rsid w:val="00CE4628"/>
    <w:rsid w:val="00D01D97"/>
    <w:rsid w:val="00DC75AE"/>
    <w:rsid w:val="00DD351D"/>
    <w:rsid w:val="00E10683"/>
    <w:rsid w:val="00E43FF4"/>
    <w:rsid w:val="00EB2795"/>
    <w:rsid w:val="00F228F7"/>
    <w:rsid w:val="00F61D63"/>
    <w:rsid w:val="00F732CE"/>
    <w:rsid w:val="00F750FF"/>
    <w:rsid w:val="00FC1981"/>
    <w:rsid w:val="00FD1CF2"/>
    <w:rsid w:val="31682BC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000FF" w:themeColor="hyperlink"/>
      <w:u w:val="single"/>
      <w14:textFill>
        <w14:solidFill>
          <w14:schemeClr w14:val="hlink"/>
        </w14:solidFill>
      </w14:textFill>
    </w:rPr>
  </w:style>
  <w:style w:type="paragraph" w:customStyle="1" w:styleId="7">
    <w:name w:val="List Paragraph"/>
    <w:basedOn w:val="1"/>
    <w:qFormat/>
    <w:uiPriority w:val="34"/>
    <w:pPr>
      <w:ind w:firstLine="420" w:firstLineChars="200"/>
    </w:pPr>
  </w:style>
  <w:style w:type="character" w:customStyle="1" w:styleId="8">
    <w:name w:val="页眉 Char"/>
    <w:basedOn w:val="4"/>
    <w:link w:val="3"/>
    <w:qFormat/>
    <w:uiPriority w:val="99"/>
    <w:rPr>
      <w:sz w:val="18"/>
      <w:szCs w:val="18"/>
    </w:rPr>
  </w:style>
  <w:style w:type="character" w:customStyle="1" w:styleId="9">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Zhejiang University</Company>
  <Pages>9</Pages>
  <Words>1015</Words>
  <Characters>5787</Characters>
  <Lines>48</Lines>
  <Paragraphs>13</Paragraphs>
  <TotalTime>0</TotalTime>
  <ScaleCrop>false</ScaleCrop>
  <LinksUpToDate>false</LinksUpToDate>
  <CharactersWithSpaces>6789</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2016-03-02T05:45:00Z</dcterms:created>
  <dc:creator>王婧旖</dc:creator>
  <cp:lastModifiedBy>Owner</cp:lastModifiedBy>
  <dcterms:modified xsi:type="dcterms:W3CDTF">2016-11-14T02:55:41Z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