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86" w:rsidRPr="00A27171" w:rsidRDefault="00F025C6" w:rsidP="00463263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30"/>
          <w:szCs w:val="30"/>
        </w:rPr>
        <w:t>城市发展与管理</w:t>
      </w:r>
      <w:r w:rsidR="00FF5A9C">
        <w:rPr>
          <w:rFonts w:hint="eastAsia"/>
          <w:b/>
          <w:sz w:val="30"/>
          <w:szCs w:val="30"/>
        </w:rPr>
        <w:t>、非传统安全管理、教育经济与管理、企业管理</w:t>
      </w:r>
      <w:r w:rsidR="00C35B3F">
        <w:rPr>
          <w:rFonts w:hint="eastAsia"/>
          <w:b/>
          <w:sz w:val="30"/>
          <w:szCs w:val="30"/>
        </w:rPr>
        <w:t>、国际事务与全球治理</w:t>
      </w:r>
      <w:r w:rsidR="007D79A9">
        <w:rPr>
          <w:rFonts w:hint="eastAsia"/>
          <w:b/>
          <w:sz w:val="30"/>
          <w:szCs w:val="30"/>
        </w:rPr>
        <w:t>、公共信息资源管理</w:t>
      </w:r>
      <w:r w:rsidR="00FF5A9C">
        <w:rPr>
          <w:rFonts w:hint="eastAsia"/>
          <w:b/>
          <w:sz w:val="30"/>
          <w:szCs w:val="30"/>
        </w:rPr>
        <w:t>等专业博士生中期考核的</w:t>
      </w:r>
      <w:r>
        <w:rPr>
          <w:rFonts w:hint="eastAsia"/>
          <w:b/>
          <w:sz w:val="30"/>
          <w:szCs w:val="30"/>
        </w:rPr>
        <w:t>实施细则</w:t>
      </w:r>
      <w:r w:rsidR="00FF5A9C" w:rsidRPr="00A27171">
        <w:rPr>
          <w:rFonts w:hint="eastAsia"/>
          <w:b/>
          <w:sz w:val="24"/>
          <w:szCs w:val="24"/>
        </w:rPr>
        <w:t>（</w:t>
      </w:r>
      <w:r w:rsidR="00A27171" w:rsidRPr="00A27171">
        <w:rPr>
          <w:rFonts w:hint="eastAsia"/>
          <w:b/>
          <w:sz w:val="24"/>
          <w:szCs w:val="24"/>
        </w:rPr>
        <w:t>2</w:t>
      </w:r>
      <w:r w:rsidR="00463263">
        <w:rPr>
          <w:b/>
          <w:sz w:val="24"/>
          <w:szCs w:val="24"/>
        </w:rPr>
        <w:t>022</w:t>
      </w:r>
      <w:r w:rsidR="00A27171" w:rsidRPr="00A27171">
        <w:rPr>
          <w:rFonts w:hint="eastAsia"/>
          <w:b/>
          <w:sz w:val="24"/>
          <w:szCs w:val="24"/>
        </w:rPr>
        <w:t>年</w:t>
      </w:r>
      <w:r w:rsidR="00463263">
        <w:rPr>
          <w:rFonts w:hint="eastAsia"/>
          <w:b/>
          <w:sz w:val="24"/>
          <w:szCs w:val="24"/>
        </w:rPr>
        <w:t>9</w:t>
      </w:r>
      <w:r w:rsidR="00A27171" w:rsidRPr="00A27171">
        <w:rPr>
          <w:rFonts w:hint="eastAsia"/>
          <w:b/>
          <w:sz w:val="24"/>
          <w:szCs w:val="24"/>
        </w:rPr>
        <w:t>月修订</w:t>
      </w:r>
      <w:r w:rsidR="00FF5A9C" w:rsidRPr="00A27171">
        <w:rPr>
          <w:rFonts w:hint="eastAsia"/>
          <w:b/>
          <w:sz w:val="24"/>
          <w:szCs w:val="24"/>
        </w:rPr>
        <w:t>）</w:t>
      </w:r>
    </w:p>
    <w:p w:rsidR="00626D86" w:rsidRDefault="00626D86">
      <w:pPr>
        <w:widowControl w:val="0"/>
        <w:spacing w:line="360" w:lineRule="auto"/>
        <w:rPr>
          <w:sz w:val="24"/>
          <w:szCs w:val="24"/>
        </w:rPr>
      </w:pPr>
    </w:p>
    <w:p w:rsidR="00626D86" w:rsidRDefault="00FF5A9C">
      <w:pPr>
        <w:spacing w:line="360" w:lineRule="auto"/>
        <w:ind w:firstLine="570"/>
        <w:rPr>
          <w:sz w:val="24"/>
        </w:rPr>
      </w:pPr>
      <w:r>
        <w:rPr>
          <w:rFonts w:hint="eastAsia"/>
          <w:sz w:val="24"/>
        </w:rPr>
        <w:t>为了进一步</w:t>
      </w:r>
      <w:r>
        <w:rPr>
          <w:rFonts w:hint="eastAsia"/>
          <w:color w:val="000000"/>
          <w:sz w:val="24"/>
        </w:rPr>
        <w:t>提</w:t>
      </w:r>
      <w:r>
        <w:rPr>
          <w:rFonts w:hint="eastAsia"/>
          <w:sz w:val="24"/>
        </w:rPr>
        <w:t>高</w:t>
      </w:r>
      <w:r w:rsidR="00F025C6">
        <w:rPr>
          <w:rFonts w:hint="eastAsia"/>
          <w:sz w:val="24"/>
        </w:rPr>
        <w:t>城市发展与</w:t>
      </w:r>
      <w:r>
        <w:rPr>
          <w:rFonts w:hint="eastAsia"/>
          <w:sz w:val="24"/>
        </w:rPr>
        <w:t>管理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非传统安全管理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教育经济与管理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企业管理博士生培养质量，根据《浙江大学博士研究生中期考核实施办法（试行）》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浙大研院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）号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和《浙江大学公共管理学院博士研究生中期考核实施细则》相关文件的精神和规定，并结合本学科的特点，制定本实施细则。</w:t>
      </w:r>
    </w:p>
    <w:p w:rsidR="00626D86" w:rsidRDefault="00FF5A9C" w:rsidP="00C35B3F">
      <w:pPr>
        <w:widowControl w:val="0"/>
        <w:numPr>
          <w:ilvl w:val="0"/>
          <w:numId w:val="1"/>
        </w:numPr>
        <w:tabs>
          <w:tab w:val="clear" w:pos="1280"/>
        </w:tabs>
        <w:spacing w:beforeLines="50" w:before="156" w:line="360" w:lineRule="auto"/>
        <w:ind w:left="1281"/>
        <w:rPr>
          <w:b/>
          <w:sz w:val="24"/>
        </w:rPr>
      </w:pPr>
      <w:r>
        <w:rPr>
          <w:rFonts w:hint="eastAsia"/>
          <w:b/>
          <w:sz w:val="24"/>
        </w:rPr>
        <w:t>考核机构</w:t>
      </w:r>
    </w:p>
    <w:p w:rsidR="00626D86" w:rsidRDefault="00FF5A9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在学院</w:t>
      </w:r>
      <w:r>
        <w:rPr>
          <w:sz w:val="24"/>
        </w:rPr>
        <w:t>博士生</w:t>
      </w:r>
      <w:r>
        <w:rPr>
          <w:rFonts w:hint="eastAsia"/>
          <w:sz w:val="24"/>
        </w:rPr>
        <w:t>中期</w:t>
      </w:r>
      <w:r>
        <w:rPr>
          <w:sz w:val="24"/>
        </w:rPr>
        <w:t>考核委员会</w:t>
      </w:r>
      <w:r>
        <w:rPr>
          <w:rFonts w:hint="eastAsia"/>
          <w:sz w:val="24"/>
        </w:rPr>
        <w:t>指导下成立“学科考核小组”。</w:t>
      </w:r>
    </w:p>
    <w:p w:rsidR="00626D86" w:rsidRDefault="00FF5A9C" w:rsidP="00E76C5E">
      <w:pPr>
        <w:spacing w:line="360" w:lineRule="auto"/>
        <w:ind w:firstLine="570"/>
        <w:rPr>
          <w:sz w:val="24"/>
        </w:rPr>
      </w:pPr>
      <w:r>
        <w:rPr>
          <w:rFonts w:hint="eastAsia"/>
          <w:sz w:val="24"/>
        </w:rPr>
        <w:t>组长：</w:t>
      </w:r>
      <w:proofErr w:type="gramStart"/>
      <w:r w:rsidR="00370487">
        <w:rPr>
          <w:rFonts w:hint="eastAsia"/>
          <w:sz w:val="24"/>
        </w:rPr>
        <w:t>吴结兵</w:t>
      </w:r>
      <w:proofErr w:type="gramEnd"/>
    </w:p>
    <w:p w:rsidR="00626D86" w:rsidRDefault="004C68A8" w:rsidP="00E76C5E">
      <w:pPr>
        <w:spacing w:line="360" w:lineRule="auto"/>
        <w:ind w:firstLine="570"/>
        <w:rPr>
          <w:sz w:val="24"/>
        </w:rPr>
      </w:pPr>
      <w:r>
        <w:rPr>
          <w:rFonts w:hint="eastAsia"/>
          <w:sz w:val="24"/>
        </w:rPr>
        <w:t>成员：</w:t>
      </w:r>
      <w:r w:rsidRPr="00E76C5E">
        <w:rPr>
          <w:rFonts w:hint="eastAsia"/>
          <w:sz w:val="24"/>
        </w:rPr>
        <w:t>余潇枫、朱凌</w:t>
      </w:r>
      <w:r w:rsidR="00FF5A9C" w:rsidRPr="00E76C5E">
        <w:rPr>
          <w:rFonts w:hint="eastAsia"/>
          <w:sz w:val="24"/>
        </w:rPr>
        <w:t>、蔡宁</w:t>
      </w:r>
      <w:r w:rsidRPr="00E76C5E">
        <w:rPr>
          <w:rFonts w:hint="eastAsia"/>
          <w:sz w:val="24"/>
        </w:rPr>
        <w:t>、周萍、</w:t>
      </w:r>
      <w:proofErr w:type="gramStart"/>
      <w:r w:rsidRPr="00E76C5E">
        <w:rPr>
          <w:rFonts w:hint="eastAsia"/>
          <w:sz w:val="24"/>
        </w:rPr>
        <w:t>余逊达</w:t>
      </w:r>
      <w:proofErr w:type="gramEnd"/>
    </w:p>
    <w:p w:rsidR="00626D86" w:rsidRDefault="00F025C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秘书：</w:t>
      </w:r>
      <w:r w:rsidR="00370487">
        <w:rPr>
          <w:rFonts w:hint="eastAsia"/>
          <w:sz w:val="24"/>
        </w:rPr>
        <w:t>徐元朔</w:t>
      </w:r>
    </w:p>
    <w:p w:rsidR="00626D86" w:rsidRDefault="00FF5A9C" w:rsidP="00C35B3F">
      <w:pPr>
        <w:widowControl w:val="0"/>
        <w:numPr>
          <w:ilvl w:val="0"/>
          <w:numId w:val="1"/>
        </w:numPr>
        <w:tabs>
          <w:tab w:val="clear" w:pos="1280"/>
        </w:tabs>
        <w:spacing w:beforeLines="50" w:before="156" w:line="360" w:lineRule="auto"/>
        <w:ind w:left="1281"/>
        <w:rPr>
          <w:b/>
          <w:sz w:val="24"/>
        </w:rPr>
      </w:pPr>
      <w:r>
        <w:rPr>
          <w:rFonts w:hint="eastAsia"/>
          <w:b/>
          <w:sz w:val="24"/>
        </w:rPr>
        <w:t>申请时间和申请条件</w:t>
      </w:r>
    </w:p>
    <w:tbl>
      <w:tblPr>
        <w:tblW w:w="90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2728"/>
        <w:gridCol w:w="4482"/>
      </w:tblGrid>
      <w:tr w:rsidR="00626D86">
        <w:tc>
          <w:tcPr>
            <w:tcW w:w="1859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博士生类型</w:t>
            </w:r>
          </w:p>
        </w:tc>
        <w:tc>
          <w:tcPr>
            <w:tcW w:w="2728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4482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</w:tr>
      <w:tr w:rsidR="00626D86">
        <w:tc>
          <w:tcPr>
            <w:tcW w:w="1859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普通博士生</w:t>
            </w:r>
          </w:p>
        </w:tc>
        <w:tc>
          <w:tcPr>
            <w:tcW w:w="2728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二年级秋学期</w:t>
            </w:r>
          </w:p>
        </w:tc>
        <w:tc>
          <w:tcPr>
            <w:tcW w:w="4482" w:type="dxa"/>
            <w:vMerge w:val="restart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已达到博士生中期考核相关要求，并得到导师同意。</w:t>
            </w:r>
          </w:p>
        </w:tc>
      </w:tr>
      <w:tr w:rsidR="00626D86">
        <w:tc>
          <w:tcPr>
            <w:tcW w:w="1859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直接攻博生</w:t>
            </w:r>
          </w:p>
        </w:tc>
        <w:tc>
          <w:tcPr>
            <w:tcW w:w="2728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三年级秋学期</w:t>
            </w:r>
          </w:p>
        </w:tc>
        <w:tc>
          <w:tcPr>
            <w:tcW w:w="4482" w:type="dxa"/>
            <w:vMerge/>
          </w:tcPr>
          <w:p w:rsidR="00626D86" w:rsidRDefault="00626D86">
            <w:pPr>
              <w:spacing w:line="360" w:lineRule="auto"/>
              <w:rPr>
                <w:sz w:val="24"/>
              </w:rPr>
            </w:pPr>
          </w:p>
        </w:tc>
      </w:tr>
      <w:tr w:rsidR="00626D86">
        <w:tc>
          <w:tcPr>
            <w:tcW w:w="1859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硕博连读生</w:t>
            </w:r>
          </w:p>
        </w:tc>
        <w:tc>
          <w:tcPr>
            <w:tcW w:w="2728" w:type="dxa"/>
          </w:tcPr>
          <w:p w:rsidR="00626D86" w:rsidRDefault="00FF5A9C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转博后</w:t>
            </w:r>
            <w:proofErr w:type="gramEnd"/>
            <w:r>
              <w:rPr>
                <w:rFonts w:hint="eastAsia"/>
                <w:sz w:val="24"/>
              </w:rPr>
              <w:t>的第二年秋学期</w:t>
            </w:r>
          </w:p>
        </w:tc>
        <w:tc>
          <w:tcPr>
            <w:tcW w:w="4482" w:type="dxa"/>
            <w:vMerge/>
          </w:tcPr>
          <w:p w:rsidR="00626D86" w:rsidRDefault="00626D86">
            <w:pPr>
              <w:spacing w:line="360" w:lineRule="auto"/>
              <w:rPr>
                <w:sz w:val="24"/>
              </w:rPr>
            </w:pPr>
          </w:p>
        </w:tc>
      </w:tr>
    </w:tbl>
    <w:p w:rsidR="00626D86" w:rsidRDefault="00FF5A9C" w:rsidP="00C35B3F">
      <w:pPr>
        <w:spacing w:beforeLines="50" w:before="156" w:line="360" w:lineRule="auto"/>
        <w:ind w:firstLine="573"/>
        <w:rPr>
          <w:b/>
          <w:sz w:val="24"/>
        </w:rPr>
      </w:pPr>
      <w:r>
        <w:rPr>
          <w:rFonts w:hint="eastAsia"/>
          <w:b/>
          <w:sz w:val="24"/>
        </w:rPr>
        <w:t>若不在规定的时间参加考核，在学科考核小组同意下可以申请延期，与下一年级同时考核。在博士生延期考核中只考核合格与不合格，不纳入良好与优秀的考核等级。</w:t>
      </w:r>
    </w:p>
    <w:p w:rsidR="00626D86" w:rsidRDefault="00FF5A9C" w:rsidP="00C35B3F">
      <w:pPr>
        <w:widowControl w:val="0"/>
        <w:numPr>
          <w:ilvl w:val="0"/>
          <w:numId w:val="1"/>
        </w:numPr>
        <w:tabs>
          <w:tab w:val="clear" w:pos="1280"/>
        </w:tabs>
        <w:spacing w:beforeLines="50" w:before="156" w:line="360" w:lineRule="auto"/>
        <w:ind w:left="1281"/>
        <w:rPr>
          <w:b/>
          <w:sz w:val="24"/>
        </w:rPr>
      </w:pPr>
      <w:r>
        <w:rPr>
          <w:rFonts w:hint="eastAsia"/>
          <w:b/>
          <w:sz w:val="24"/>
          <w:szCs w:val="24"/>
        </w:rPr>
        <w:t>作为中期考核必要条件的核心课程分别为：</w:t>
      </w:r>
    </w:p>
    <w:p w:rsidR="00F025C6" w:rsidRPr="00F025C6" w:rsidRDefault="00F025C6" w:rsidP="00F025C6">
      <w:pPr>
        <w:spacing w:line="480" w:lineRule="exact"/>
        <w:ind w:firstLineChars="200" w:firstLine="480"/>
        <w:jc w:val="left"/>
        <w:rPr>
          <w:color w:val="000000"/>
          <w:sz w:val="24"/>
          <w:szCs w:val="24"/>
        </w:rPr>
      </w:pPr>
      <w:r w:rsidRPr="00F025C6">
        <w:rPr>
          <w:rFonts w:hint="eastAsia"/>
          <w:color w:val="000000"/>
          <w:sz w:val="24"/>
          <w:szCs w:val="24"/>
        </w:rPr>
        <w:t>城市发展管理专业：《</w:t>
      </w:r>
      <w:r w:rsidRPr="00F025C6">
        <w:rPr>
          <w:color w:val="000000"/>
          <w:sz w:val="24"/>
          <w:szCs w:val="24"/>
        </w:rPr>
        <w:t>城市经济学</w:t>
      </w:r>
      <w:r w:rsidRPr="00F025C6">
        <w:rPr>
          <w:rFonts w:hint="eastAsia"/>
          <w:color w:val="000000"/>
          <w:sz w:val="24"/>
          <w:szCs w:val="24"/>
        </w:rPr>
        <w:t>》</w:t>
      </w:r>
      <w:r>
        <w:rPr>
          <w:rFonts w:hint="eastAsia"/>
          <w:color w:val="000000"/>
          <w:sz w:val="24"/>
          <w:szCs w:val="24"/>
        </w:rPr>
        <w:t>；《高级公共管理研究方法》</w:t>
      </w:r>
    </w:p>
    <w:p w:rsidR="00626D86" w:rsidRDefault="00FF5A9C">
      <w:pPr>
        <w:widowControl w:val="0"/>
        <w:spacing w:line="360" w:lineRule="auto"/>
        <w:ind w:leftChars="171" w:left="359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非传统安全管理专业：高级公共管理研究方法；公共管理经典著作选读</w:t>
      </w:r>
    </w:p>
    <w:p w:rsidR="00626D86" w:rsidRDefault="00FF5A9C">
      <w:pPr>
        <w:widowControl w:val="0"/>
        <w:spacing w:line="360" w:lineRule="auto"/>
        <w:ind w:leftChars="171" w:left="359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（可用非传统安全管理理论（</w:t>
      </w:r>
      <w:r>
        <w:rPr>
          <w:rFonts w:hint="eastAsia"/>
          <w:sz w:val="24"/>
          <w:szCs w:val="24"/>
        </w:rPr>
        <w:t>II</w:t>
      </w:r>
      <w:r>
        <w:rPr>
          <w:rFonts w:hint="eastAsia"/>
          <w:sz w:val="24"/>
          <w:szCs w:val="24"/>
        </w:rPr>
        <w:t>）或非传统安全政策仿真（</w:t>
      </w:r>
      <w:r>
        <w:rPr>
          <w:rFonts w:hint="eastAsia"/>
          <w:sz w:val="24"/>
          <w:szCs w:val="24"/>
        </w:rPr>
        <w:t>II</w:t>
      </w:r>
      <w:r>
        <w:rPr>
          <w:rFonts w:hint="eastAsia"/>
          <w:sz w:val="24"/>
          <w:szCs w:val="24"/>
        </w:rPr>
        <w:t>）替换）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教育经济与管理专业：高级公共管理研究方法；公共管理经典著作选读</w:t>
      </w:r>
    </w:p>
    <w:p w:rsidR="00626D86" w:rsidRDefault="00FF5A9C">
      <w:pPr>
        <w:widowControl w:val="0"/>
        <w:spacing w:line="360" w:lineRule="auto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（可用科技教育管理高级研讨替换）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企业管理专业：管理研究方法；管理学前沿</w:t>
      </w:r>
    </w:p>
    <w:p w:rsidR="005C5138" w:rsidRDefault="005C5138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 w:rsidRPr="004C68A8">
        <w:rPr>
          <w:rFonts w:hint="eastAsia"/>
          <w:sz w:val="24"/>
          <w:szCs w:val="24"/>
        </w:rPr>
        <w:lastRenderedPageBreak/>
        <w:t>公共信</w:t>
      </w:r>
      <w:r w:rsidRPr="004C68A8">
        <w:rPr>
          <w:sz w:val="24"/>
          <w:szCs w:val="24"/>
        </w:rPr>
        <w:t>息</w:t>
      </w:r>
      <w:r w:rsidRPr="004C68A8">
        <w:rPr>
          <w:rFonts w:hint="eastAsia"/>
          <w:sz w:val="24"/>
          <w:szCs w:val="24"/>
        </w:rPr>
        <w:t>资源</w:t>
      </w:r>
      <w:r w:rsidRPr="004C68A8">
        <w:rPr>
          <w:sz w:val="24"/>
          <w:szCs w:val="24"/>
        </w:rPr>
        <w:t>管理专业</w:t>
      </w:r>
      <w:r w:rsidR="00567138">
        <w:rPr>
          <w:rFonts w:hint="eastAsia"/>
          <w:sz w:val="24"/>
          <w:szCs w:val="24"/>
        </w:rPr>
        <w:t>（普博）</w:t>
      </w:r>
      <w:r w:rsidRPr="004C68A8">
        <w:rPr>
          <w:sz w:val="24"/>
          <w:szCs w:val="24"/>
        </w:rPr>
        <w:t>：</w:t>
      </w:r>
      <w:r w:rsidR="006C36F6">
        <w:rPr>
          <w:rFonts w:hint="eastAsia"/>
          <w:sz w:val="24"/>
          <w:szCs w:val="24"/>
        </w:rPr>
        <w:t>高级公共信息资源管理专题</w:t>
      </w:r>
      <w:r w:rsidR="00463263">
        <w:rPr>
          <w:rFonts w:hint="eastAsia"/>
          <w:sz w:val="24"/>
          <w:szCs w:val="24"/>
        </w:rPr>
        <w:t>；大数据专题研究（可用</w:t>
      </w:r>
      <w:r w:rsidR="006C36F6">
        <w:rPr>
          <w:rFonts w:hint="eastAsia"/>
          <w:sz w:val="24"/>
          <w:szCs w:val="24"/>
        </w:rPr>
        <w:t>高阶数字治理专题替换</w:t>
      </w:r>
      <w:r w:rsidR="00463263">
        <w:rPr>
          <w:rFonts w:hint="eastAsia"/>
          <w:sz w:val="24"/>
          <w:szCs w:val="24"/>
        </w:rPr>
        <w:t>）</w:t>
      </w:r>
    </w:p>
    <w:p w:rsidR="00567138" w:rsidRPr="00567138" w:rsidRDefault="00567138" w:rsidP="00567138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 w:rsidRPr="004C68A8">
        <w:rPr>
          <w:rFonts w:hint="eastAsia"/>
          <w:sz w:val="24"/>
          <w:szCs w:val="24"/>
        </w:rPr>
        <w:t>公共信</w:t>
      </w:r>
      <w:r w:rsidRPr="004C68A8">
        <w:rPr>
          <w:sz w:val="24"/>
          <w:szCs w:val="24"/>
        </w:rPr>
        <w:t>息</w:t>
      </w:r>
      <w:r w:rsidRPr="004C68A8">
        <w:rPr>
          <w:rFonts w:hint="eastAsia"/>
          <w:sz w:val="24"/>
          <w:szCs w:val="24"/>
        </w:rPr>
        <w:t>资源</w:t>
      </w:r>
      <w:r w:rsidRPr="004C68A8">
        <w:rPr>
          <w:sz w:val="24"/>
          <w:szCs w:val="24"/>
        </w:rPr>
        <w:t>管理专业</w:t>
      </w:r>
      <w:r>
        <w:rPr>
          <w:rFonts w:hint="eastAsia"/>
          <w:sz w:val="24"/>
          <w:szCs w:val="24"/>
        </w:rPr>
        <w:t>（直博</w:t>
      </w:r>
      <w:r w:rsidR="00B37F2B">
        <w:rPr>
          <w:rFonts w:hint="eastAsia"/>
          <w:sz w:val="24"/>
          <w:szCs w:val="24"/>
        </w:rPr>
        <w:t>、硕博连读</w:t>
      </w:r>
      <w:r>
        <w:rPr>
          <w:rFonts w:hint="eastAsia"/>
          <w:sz w:val="24"/>
          <w:szCs w:val="24"/>
        </w:rPr>
        <w:t>）</w:t>
      </w:r>
      <w:r w:rsidRPr="004C68A8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公共信息资源管理专题；大数据专题研究（可用数字治理专题替换）</w:t>
      </w:r>
    </w:p>
    <w:p w:rsidR="004F022B" w:rsidRDefault="00B950DB" w:rsidP="004F022B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国际事务与全球治理：</w:t>
      </w:r>
      <w:r w:rsidR="00D44F0A">
        <w:rPr>
          <w:rFonts w:hint="eastAsia"/>
          <w:sz w:val="24"/>
          <w:szCs w:val="24"/>
        </w:rPr>
        <w:t>全球化与全球治理</w:t>
      </w:r>
      <w:r w:rsidR="00C35B3F">
        <w:rPr>
          <w:rFonts w:hint="eastAsia"/>
          <w:sz w:val="24"/>
          <w:szCs w:val="24"/>
        </w:rPr>
        <w:t>；</w:t>
      </w:r>
      <w:r w:rsidR="004F022B" w:rsidRPr="004F022B">
        <w:rPr>
          <w:rFonts w:hint="eastAsia"/>
          <w:sz w:val="24"/>
          <w:szCs w:val="24"/>
        </w:rPr>
        <w:t>国际事务与全球治理经典导读</w:t>
      </w:r>
    </w:p>
    <w:p w:rsidR="00626D86" w:rsidRDefault="00FF5A9C" w:rsidP="004F022B">
      <w:pPr>
        <w:widowControl w:val="0"/>
        <w:spacing w:line="360" w:lineRule="auto"/>
        <w:ind w:firstLineChars="200" w:firstLine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核心课程不合格，则考核不合格；核心课程合格，则可以进入下一阶段研究方案与综合素质考核程序。</w:t>
      </w:r>
    </w:p>
    <w:p w:rsidR="00626D86" w:rsidRDefault="00FF5A9C">
      <w:pPr>
        <w:widowControl w:val="0"/>
        <w:spacing w:line="360" w:lineRule="auto"/>
        <w:ind w:firstLineChars="196" w:firstLine="472"/>
        <w:outlineLvl w:val="0"/>
        <w:rPr>
          <w:b/>
          <w:sz w:val="24"/>
          <w:szCs w:val="24"/>
        </w:rPr>
      </w:pPr>
      <w:bookmarkStart w:id="1" w:name="OLE_LINK1"/>
      <w:bookmarkStart w:id="2" w:name="OLE_LINK2"/>
      <w:r>
        <w:rPr>
          <w:rFonts w:hint="eastAsia"/>
          <w:b/>
          <w:color w:val="000000"/>
          <w:sz w:val="24"/>
          <w:szCs w:val="24"/>
        </w:rPr>
        <w:t>四、</w:t>
      </w:r>
      <w:r>
        <w:rPr>
          <w:b/>
          <w:color w:val="000000"/>
          <w:sz w:val="24"/>
          <w:szCs w:val="24"/>
        </w:rPr>
        <w:t>研究能力评估</w:t>
      </w:r>
      <w:r>
        <w:rPr>
          <w:rFonts w:hint="eastAsia"/>
          <w:b/>
          <w:color w:val="000000"/>
          <w:sz w:val="24"/>
          <w:szCs w:val="24"/>
        </w:rPr>
        <w:t>的主要依据和</w:t>
      </w:r>
      <w:r>
        <w:rPr>
          <w:rFonts w:hint="eastAsia"/>
          <w:b/>
          <w:sz w:val="24"/>
          <w:szCs w:val="24"/>
        </w:rPr>
        <w:t>计分标准如下：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研究能力根据重要性依次包括权威</w:t>
      </w:r>
      <w:r>
        <w:rPr>
          <w:rFonts w:hint="eastAsia"/>
          <w:sz w:val="24"/>
          <w:szCs w:val="24"/>
        </w:rPr>
        <w:t>(SSCI\SCI)</w:t>
      </w:r>
      <w:r>
        <w:rPr>
          <w:rFonts w:hint="eastAsia"/>
          <w:sz w:val="24"/>
          <w:szCs w:val="24"/>
        </w:rPr>
        <w:t>论文、</w:t>
      </w:r>
      <w:r w:rsidRPr="00E76C5E">
        <w:rPr>
          <w:rFonts w:hint="eastAsia"/>
          <w:sz w:val="24"/>
          <w:szCs w:val="24"/>
        </w:rPr>
        <w:t>一级（</w:t>
      </w:r>
      <w:r w:rsidR="00125DEE" w:rsidRPr="00E76C5E">
        <w:rPr>
          <w:rFonts w:hint="eastAsia"/>
          <w:sz w:val="24"/>
          <w:szCs w:val="24"/>
        </w:rPr>
        <w:t>EI</w:t>
      </w:r>
      <w:r w:rsidR="00125DEE" w:rsidRPr="00E76C5E">
        <w:rPr>
          <w:rFonts w:hint="eastAsia"/>
          <w:sz w:val="24"/>
          <w:szCs w:val="24"/>
        </w:rPr>
        <w:t>期刊</w:t>
      </w:r>
      <w:r w:rsidRPr="00E76C5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论文、核心论文等等，如下所示：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（一）发表权威期刊</w:t>
      </w:r>
      <w:r>
        <w:rPr>
          <w:rFonts w:hint="eastAsia"/>
          <w:sz w:val="24"/>
          <w:szCs w:val="24"/>
        </w:rPr>
        <w:t>/SSCI/SCI</w:t>
      </w:r>
      <w:r>
        <w:rPr>
          <w:rFonts w:hint="eastAsia"/>
          <w:sz w:val="24"/>
          <w:szCs w:val="24"/>
        </w:rPr>
        <w:t>论文，每篇计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 w:rsidRPr="00E76C5E">
        <w:rPr>
          <w:rFonts w:hint="eastAsia"/>
          <w:sz w:val="24"/>
          <w:szCs w:val="24"/>
        </w:rPr>
        <w:t>（二）发表一级刊物</w:t>
      </w:r>
      <w:r w:rsidR="004C68A8" w:rsidRPr="00E76C5E">
        <w:rPr>
          <w:rFonts w:hint="eastAsia"/>
          <w:sz w:val="24"/>
          <w:szCs w:val="24"/>
        </w:rPr>
        <w:t>（含</w:t>
      </w:r>
      <w:r w:rsidR="004C68A8" w:rsidRPr="00E76C5E">
        <w:rPr>
          <w:rFonts w:hint="eastAsia"/>
          <w:sz w:val="24"/>
          <w:szCs w:val="24"/>
        </w:rPr>
        <w:t>EI</w:t>
      </w:r>
      <w:r w:rsidR="004C68A8" w:rsidRPr="00E76C5E">
        <w:rPr>
          <w:rFonts w:hint="eastAsia"/>
          <w:sz w:val="24"/>
          <w:szCs w:val="24"/>
        </w:rPr>
        <w:t>期刊）</w:t>
      </w:r>
      <w:r w:rsidRPr="00E76C5E">
        <w:rPr>
          <w:rFonts w:hint="eastAsia"/>
          <w:sz w:val="24"/>
          <w:szCs w:val="24"/>
        </w:rPr>
        <w:t>论文，每篇计</w:t>
      </w:r>
      <w:r w:rsidRPr="00E76C5E">
        <w:rPr>
          <w:rFonts w:hint="eastAsia"/>
          <w:sz w:val="24"/>
          <w:szCs w:val="24"/>
        </w:rPr>
        <w:t>10</w:t>
      </w:r>
      <w:r w:rsidRPr="00E76C5E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；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（三）发表浙大核心或</w:t>
      </w:r>
      <w:r>
        <w:rPr>
          <w:rFonts w:hint="eastAsia"/>
          <w:sz w:val="24"/>
          <w:szCs w:val="24"/>
        </w:rPr>
        <w:t>CSSCI</w:t>
      </w:r>
      <w:r>
        <w:rPr>
          <w:rFonts w:hint="eastAsia"/>
          <w:sz w:val="24"/>
          <w:szCs w:val="24"/>
        </w:rPr>
        <w:t>期刊论文，每篇计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分；</w:t>
      </w:r>
    </w:p>
    <w:p w:rsidR="00626D86" w:rsidRPr="005D72FF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（四）参与著作撰写并由省级以上出版社出版</w:t>
      </w:r>
      <w:r w:rsidRPr="005D72FF">
        <w:rPr>
          <w:rFonts w:hint="eastAsia"/>
          <w:sz w:val="24"/>
          <w:szCs w:val="24"/>
        </w:rPr>
        <w:t>，每</w:t>
      </w:r>
      <w:r w:rsidRPr="005D72FF">
        <w:rPr>
          <w:rFonts w:hint="eastAsia"/>
          <w:sz w:val="24"/>
          <w:szCs w:val="24"/>
        </w:rPr>
        <w:t>5</w:t>
      </w:r>
      <w:r w:rsidRPr="005D72FF">
        <w:rPr>
          <w:rFonts w:hint="eastAsia"/>
          <w:sz w:val="24"/>
          <w:szCs w:val="24"/>
        </w:rPr>
        <w:t>万字计</w:t>
      </w:r>
      <w:r w:rsidRPr="005D72FF">
        <w:rPr>
          <w:rFonts w:hint="eastAsia"/>
          <w:sz w:val="24"/>
          <w:szCs w:val="24"/>
        </w:rPr>
        <w:t>4</w:t>
      </w:r>
      <w:r w:rsidRPr="005D72FF">
        <w:rPr>
          <w:rFonts w:hint="eastAsia"/>
          <w:sz w:val="24"/>
          <w:szCs w:val="24"/>
        </w:rPr>
        <w:t>分</w:t>
      </w:r>
      <w:r w:rsidR="00E76C5E" w:rsidRPr="005D72FF">
        <w:rPr>
          <w:rFonts w:hint="eastAsia"/>
          <w:sz w:val="24"/>
          <w:szCs w:val="24"/>
        </w:rPr>
        <w:t>，每本专著上限</w:t>
      </w:r>
      <w:r w:rsidR="00E76C5E" w:rsidRPr="005D72FF">
        <w:rPr>
          <w:rFonts w:hint="eastAsia"/>
          <w:sz w:val="24"/>
          <w:szCs w:val="24"/>
        </w:rPr>
        <w:t>4</w:t>
      </w:r>
      <w:r w:rsidR="00E76C5E" w:rsidRPr="005D72FF">
        <w:rPr>
          <w:rFonts w:hint="eastAsia"/>
          <w:sz w:val="24"/>
          <w:szCs w:val="24"/>
        </w:rPr>
        <w:t>分</w:t>
      </w:r>
      <w:r w:rsidRPr="005D72FF">
        <w:rPr>
          <w:rFonts w:hint="eastAsia"/>
          <w:sz w:val="24"/>
          <w:szCs w:val="24"/>
        </w:rPr>
        <w:t>；</w:t>
      </w:r>
    </w:p>
    <w:p w:rsidR="00626D86" w:rsidRPr="005D72FF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bookmarkStart w:id="3" w:name="OLE_LINK6"/>
      <w:bookmarkStart w:id="4" w:name="OLE_LINK7"/>
      <w:r w:rsidRPr="005D72FF">
        <w:rPr>
          <w:rFonts w:hint="eastAsia"/>
          <w:sz w:val="24"/>
          <w:szCs w:val="24"/>
        </w:rPr>
        <w:t>（五）申请专利，其中发明专利</w:t>
      </w:r>
      <w:r w:rsidRPr="005D72FF">
        <w:rPr>
          <w:rFonts w:hint="eastAsia"/>
          <w:sz w:val="24"/>
          <w:szCs w:val="24"/>
        </w:rPr>
        <w:t>15</w:t>
      </w:r>
      <w:r w:rsidRPr="005D72FF">
        <w:rPr>
          <w:rFonts w:hint="eastAsia"/>
          <w:sz w:val="24"/>
          <w:szCs w:val="24"/>
        </w:rPr>
        <w:t>分，实用新型专利</w:t>
      </w:r>
      <w:r w:rsidRPr="005D72FF">
        <w:rPr>
          <w:rFonts w:hint="eastAsia"/>
          <w:sz w:val="24"/>
          <w:szCs w:val="24"/>
        </w:rPr>
        <w:t>10</w:t>
      </w:r>
      <w:r w:rsidRPr="005D72FF">
        <w:rPr>
          <w:rFonts w:hint="eastAsia"/>
          <w:sz w:val="24"/>
          <w:szCs w:val="24"/>
        </w:rPr>
        <w:t>分，外观专利</w:t>
      </w:r>
      <w:r w:rsidRPr="005D72FF">
        <w:rPr>
          <w:rFonts w:hint="eastAsia"/>
          <w:sz w:val="24"/>
          <w:szCs w:val="24"/>
        </w:rPr>
        <w:t>4</w:t>
      </w:r>
      <w:r w:rsidRPr="005D72FF">
        <w:rPr>
          <w:rFonts w:hint="eastAsia"/>
          <w:sz w:val="24"/>
          <w:szCs w:val="24"/>
        </w:rPr>
        <w:t>分；</w:t>
      </w:r>
    </w:p>
    <w:p w:rsidR="00626D86" w:rsidRDefault="00FF5A9C" w:rsidP="00767CC1">
      <w:pPr>
        <w:widowControl w:val="0"/>
        <w:spacing w:line="360" w:lineRule="auto"/>
        <w:ind w:firstLineChars="200" w:firstLine="482"/>
        <w:rPr>
          <w:b/>
          <w:sz w:val="24"/>
          <w:szCs w:val="24"/>
        </w:rPr>
      </w:pPr>
      <w:r w:rsidRPr="005D72FF">
        <w:rPr>
          <w:rFonts w:hint="eastAsia"/>
          <w:b/>
          <w:sz w:val="24"/>
          <w:szCs w:val="24"/>
        </w:rPr>
        <w:t>（以上学生成果计算只包括四种署名情况：第一，学生为第一作者；第二，导师为第一作者学生为第二作者；第三，</w:t>
      </w:r>
      <w:r w:rsidRPr="005D72FF">
        <w:rPr>
          <w:b/>
          <w:sz w:val="24"/>
          <w:szCs w:val="24"/>
        </w:rPr>
        <w:t>导师组成员（副导师）作为第一作者、学生作为第二作者</w:t>
      </w:r>
      <w:r w:rsidRPr="005D72FF">
        <w:rPr>
          <w:rFonts w:hint="eastAsia"/>
          <w:b/>
          <w:sz w:val="24"/>
          <w:szCs w:val="24"/>
        </w:rPr>
        <w:t>；第四，</w:t>
      </w:r>
      <w:r w:rsidR="004C68A8" w:rsidRPr="005D72FF">
        <w:rPr>
          <w:rFonts w:hint="eastAsia"/>
          <w:b/>
          <w:sz w:val="24"/>
          <w:szCs w:val="24"/>
        </w:rPr>
        <w:t>SSCI/SCI/EI</w:t>
      </w:r>
      <w:r w:rsidRPr="005D72FF">
        <w:rPr>
          <w:rFonts w:hint="eastAsia"/>
          <w:b/>
          <w:sz w:val="24"/>
          <w:szCs w:val="24"/>
        </w:rPr>
        <w:t>论文还包括通讯作者；第五，</w:t>
      </w:r>
      <w:r w:rsidR="00FA586F" w:rsidRPr="005D72FF">
        <w:rPr>
          <w:rFonts w:hint="eastAsia"/>
          <w:b/>
          <w:sz w:val="24"/>
          <w:szCs w:val="24"/>
        </w:rPr>
        <w:t>专著必须署名并依据版权页、目录、导论、后记等书中正式标注写作</w:t>
      </w:r>
      <w:r w:rsidR="00FA586F" w:rsidRPr="005D72FF">
        <w:rPr>
          <w:rFonts w:hint="eastAsia"/>
          <w:b/>
          <w:sz w:val="24"/>
          <w:szCs w:val="24"/>
        </w:rPr>
        <w:t>/</w:t>
      </w:r>
      <w:r w:rsidR="00FA586F" w:rsidRPr="005D72FF">
        <w:rPr>
          <w:rFonts w:hint="eastAsia"/>
          <w:b/>
          <w:sz w:val="24"/>
          <w:szCs w:val="24"/>
        </w:rPr>
        <w:t>执笔部分计算。</w:t>
      </w:r>
      <w:r w:rsidRPr="005D72FF">
        <w:rPr>
          <w:rFonts w:hint="eastAsia"/>
          <w:b/>
          <w:sz w:val="24"/>
          <w:szCs w:val="24"/>
        </w:rPr>
        <w:t>中</w:t>
      </w:r>
      <w:r>
        <w:rPr>
          <w:rFonts w:hint="eastAsia"/>
          <w:b/>
          <w:sz w:val="24"/>
          <w:szCs w:val="24"/>
        </w:rPr>
        <w:t>文期刊论文需要发表，</w:t>
      </w:r>
      <w:r>
        <w:rPr>
          <w:rFonts w:hint="eastAsia"/>
          <w:b/>
          <w:sz w:val="24"/>
          <w:szCs w:val="24"/>
        </w:rPr>
        <w:t>SSCI/SCI</w:t>
      </w:r>
      <w:r w:rsidR="004C68A8">
        <w:rPr>
          <w:rFonts w:hint="eastAsia"/>
          <w:b/>
          <w:sz w:val="24"/>
          <w:szCs w:val="24"/>
        </w:rPr>
        <w:t>/</w:t>
      </w:r>
      <w:r w:rsidR="004C68A8" w:rsidRPr="00E76C5E">
        <w:rPr>
          <w:rFonts w:hint="eastAsia"/>
          <w:b/>
          <w:sz w:val="24"/>
          <w:szCs w:val="24"/>
        </w:rPr>
        <w:t>EI</w:t>
      </w:r>
      <w:r w:rsidR="004C68A8" w:rsidRPr="00E76C5E">
        <w:rPr>
          <w:rFonts w:hint="eastAsia"/>
          <w:b/>
          <w:sz w:val="24"/>
          <w:szCs w:val="24"/>
        </w:rPr>
        <w:t>期刊</w:t>
      </w:r>
      <w:r>
        <w:rPr>
          <w:rFonts w:hint="eastAsia"/>
          <w:b/>
          <w:sz w:val="24"/>
          <w:szCs w:val="24"/>
        </w:rPr>
        <w:t>论文需要出具期刊证明</w:t>
      </w:r>
      <w:r w:rsidR="00E76C5E">
        <w:rPr>
          <w:rFonts w:hint="eastAsia"/>
          <w:b/>
          <w:sz w:val="24"/>
          <w:szCs w:val="24"/>
        </w:rPr>
        <w:t>或者检索证明</w:t>
      </w:r>
      <w:r>
        <w:rPr>
          <w:rFonts w:hint="eastAsia"/>
          <w:b/>
          <w:sz w:val="24"/>
          <w:szCs w:val="24"/>
        </w:rPr>
        <w:t>。导师组成员由各个学科认定，每位博士生最多只有一名副导师。）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（六）科研成果获得省部级以上奖励（前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名），一等奖计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分，二等奖计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分，</w:t>
      </w:r>
    </w:p>
    <w:bookmarkEnd w:id="1"/>
    <w:bookmarkEnd w:id="2"/>
    <w:bookmarkEnd w:id="3"/>
    <w:bookmarkEnd w:id="4"/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（七）研究报告或政策建议被省部级及以上</w:t>
      </w:r>
      <w:r w:rsidR="005D72FF">
        <w:rPr>
          <w:sz w:val="24"/>
          <w:szCs w:val="24"/>
        </w:rPr>
        <w:t>采纳</w:t>
      </w:r>
      <w:r w:rsidR="005D72FF">
        <w:rPr>
          <w:rFonts w:hint="eastAsia"/>
          <w:sz w:val="24"/>
          <w:szCs w:val="24"/>
        </w:rPr>
        <w:t>或者</w:t>
      </w:r>
      <w:r>
        <w:rPr>
          <w:rFonts w:hint="eastAsia"/>
          <w:sz w:val="24"/>
          <w:szCs w:val="24"/>
        </w:rPr>
        <w:t>领导批示，每份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</w:t>
      </w:r>
      <w:r w:rsidR="005D72FF">
        <w:rPr>
          <w:rFonts w:hint="eastAsia"/>
          <w:sz w:val="24"/>
          <w:szCs w:val="24"/>
        </w:rPr>
        <w:t>（前三作者）</w:t>
      </w:r>
      <w:r>
        <w:rPr>
          <w:rFonts w:hint="eastAsia"/>
          <w:sz w:val="24"/>
          <w:szCs w:val="24"/>
        </w:rPr>
        <w:t>。</w:t>
      </w:r>
    </w:p>
    <w:p w:rsidR="00626D86" w:rsidRDefault="00FF5A9C">
      <w:pPr>
        <w:widowControl w:val="0"/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专业能力测试作为优秀、良好与合格的评分依据。专业能力测试排名规则如下：</w:t>
      </w:r>
      <w:r>
        <w:rPr>
          <w:rFonts w:hint="eastAsia"/>
          <w:sz w:val="24"/>
          <w:szCs w:val="24"/>
        </w:rPr>
        <w:t>首先根据总分进行排序，在总分相同的情况下，按照研究能力项目的重要性，先比较权威论文（</w:t>
      </w:r>
      <w:r>
        <w:rPr>
          <w:rFonts w:hint="eastAsia"/>
          <w:sz w:val="24"/>
          <w:szCs w:val="24"/>
        </w:rPr>
        <w:t>SSCI/SCI</w:t>
      </w:r>
      <w:r>
        <w:rPr>
          <w:rFonts w:hint="eastAsia"/>
          <w:sz w:val="24"/>
          <w:szCs w:val="24"/>
        </w:rPr>
        <w:t>）得分，得分高的排名在前；如果仍旧相同，则开始比较一级刊物（含</w:t>
      </w:r>
      <w:r>
        <w:rPr>
          <w:rFonts w:hint="eastAsia"/>
          <w:sz w:val="24"/>
          <w:szCs w:val="24"/>
        </w:rPr>
        <w:t>EI</w:t>
      </w:r>
      <w:r w:rsidR="004C68A8">
        <w:rPr>
          <w:rFonts w:hint="eastAsia"/>
          <w:sz w:val="24"/>
          <w:szCs w:val="24"/>
        </w:rPr>
        <w:t>期刊</w:t>
      </w:r>
      <w:r>
        <w:rPr>
          <w:rFonts w:hint="eastAsia"/>
          <w:sz w:val="24"/>
          <w:szCs w:val="24"/>
        </w:rPr>
        <w:t>）；依次类推，最后比较研究报告或政策建议。如果总分与单项得分全部相同，则由学科考核小组面试决定。</w:t>
      </w:r>
    </w:p>
    <w:p w:rsidR="00626D86" w:rsidRDefault="00FF5A9C" w:rsidP="00E76C5E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五、综合面试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专业能力评估排名的后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进入综合面试，由学科考核小组对博士生进行考核，考核不通过的，为不合格，通过为合格。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六、一票否决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若出现触犯国家法律、学术不端（由学院学术委员会认定）等行为，考核不合格。</w:t>
      </w:r>
    </w:p>
    <w:p w:rsidR="00626D86" w:rsidRDefault="00FF5A9C">
      <w:pPr>
        <w:widowControl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</w:t>
      </w:r>
      <w:r>
        <w:rPr>
          <w:rFonts w:hint="eastAsia"/>
          <w:sz w:val="24"/>
        </w:rPr>
        <w:t>其他说明</w:t>
      </w:r>
    </w:p>
    <w:p w:rsidR="00626D86" w:rsidRDefault="00FF5A9C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其他事宜参照《公共管理学院博士研究生中期考核实施细则》。</w:t>
      </w:r>
    </w:p>
    <w:p w:rsidR="00626D86" w:rsidRDefault="00F025C6">
      <w:pPr>
        <w:spacing w:line="360" w:lineRule="auto"/>
        <w:ind w:right="206" w:firstLineChars="200" w:firstLine="480"/>
        <w:jc w:val="right"/>
        <w:rPr>
          <w:sz w:val="24"/>
        </w:rPr>
      </w:pPr>
      <w:r>
        <w:rPr>
          <w:rFonts w:hint="eastAsia"/>
          <w:sz w:val="24"/>
        </w:rPr>
        <w:t>城市发展与管理</w:t>
      </w:r>
      <w:r w:rsidR="00FF5A9C">
        <w:rPr>
          <w:rFonts w:hint="eastAsia"/>
          <w:sz w:val="24"/>
        </w:rPr>
        <w:t>学科</w:t>
      </w:r>
    </w:p>
    <w:p w:rsidR="00626D86" w:rsidRDefault="00FF5A9C">
      <w:pPr>
        <w:spacing w:line="360" w:lineRule="auto"/>
        <w:ind w:right="206" w:firstLineChars="200" w:firstLine="480"/>
        <w:jc w:val="right"/>
        <w:rPr>
          <w:sz w:val="24"/>
        </w:rPr>
      </w:pPr>
      <w:r>
        <w:rPr>
          <w:rFonts w:hint="eastAsia"/>
          <w:sz w:val="24"/>
        </w:rPr>
        <w:t>非传统安全管理学科</w:t>
      </w:r>
    </w:p>
    <w:p w:rsidR="00626D86" w:rsidRDefault="00FF5A9C">
      <w:pPr>
        <w:spacing w:line="360" w:lineRule="auto"/>
        <w:ind w:right="206" w:firstLineChars="200" w:firstLine="480"/>
        <w:jc w:val="right"/>
        <w:rPr>
          <w:sz w:val="24"/>
        </w:rPr>
      </w:pPr>
      <w:r>
        <w:rPr>
          <w:rFonts w:hint="eastAsia"/>
          <w:sz w:val="24"/>
        </w:rPr>
        <w:t>教育经济与管理学科</w:t>
      </w:r>
    </w:p>
    <w:p w:rsidR="00626D86" w:rsidRDefault="00FF5A9C">
      <w:pPr>
        <w:spacing w:line="360" w:lineRule="auto"/>
        <w:ind w:right="206" w:firstLineChars="200" w:firstLine="480"/>
        <w:jc w:val="right"/>
        <w:rPr>
          <w:sz w:val="24"/>
        </w:rPr>
      </w:pPr>
      <w:r>
        <w:rPr>
          <w:rFonts w:hint="eastAsia"/>
          <w:sz w:val="24"/>
        </w:rPr>
        <w:t>企业管理学科</w:t>
      </w:r>
    </w:p>
    <w:p w:rsidR="005C5138" w:rsidRPr="000429E2" w:rsidRDefault="005C5138">
      <w:pPr>
        <w:spacing w:line="360" w:lineRule="auto"/>
        <w:ind w:right="206" w:firstLineChars="200" w:firstLine="480"/>
        <w:jc w:val="right"/>
        <w:rPr>
          <w:sz w:val="24"/>
        </w:rPr>
      </w:pPr>
      <w:r w:rsidRPr="000429E2">
        <w:rPr>
          <w:rFonts w:hint="eastAsia"/>
          <w:sz w:val="24"/>
        </w:rPr>
        <w:t>公共</w:t>
      </w:r>
      <w:r w:rsidRPr="000429E2">
        <w:rPr>
          <w:sz w:val="24"/>
        </w:rPr>
        <w:t>信息资源管理学科</w:t>
      </w:r>
    </w:p>
    <w:p w:rsidR="005C5138" w:rsidRPr="000429E2" w:rsidRDefault="005C5138">
      <w:pPr>
        <w:spacing w:line="360" w:lineRule="auto"/>
        <w:ind w:right="206" w:firstLineChars="200" w:firstLine="480"/>
        <w:jc w:val="right"/>
        <w:rPr>
          <w:sz w:val="24"/>
        </w:rPr>
      </w:pPr>
      <w:r w:rsidRPr="000429E2">
        <w:rPr>
          <w:rFonts w:hint="eastAsia"/>
          <w:sz w:val="24"/>
        </w:rPr>
        <w:t>国</w:t>
      </w:r>
      <w:r w:rsidRPr="000429E2">
        <w:rPr>
          <w:sz w:val="24"/>
        </w:rPr>
        <w:t>际事务与全球治理学科</w:t>
      </w:r>
    </w:p>
    <w:p w:rsidR="00626D86" w:rsidRDefault="00A27171">
      <w:pPr>
        <w:spacing w:line="360" w:lineRule="auto"/>
        <w:ind w:right="206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</w:rPr>
        <w:t>202</w:t>
      </w:r>
      <w:r w:rsidR="00463263">
        <w:rPr>
          <w:sz w:val="24"/>
        </w:rPr>
        <w:t>2</w:t>
      </w:r>
      <w:r w:rsidR="00FF5A9C">
        <w:rPr>
          <w:rFonts w:hint="eastAsia"/>
          <w:sz w:val="24"/>
        </w:rPr>
        <w:t>年</w:t>
      </w:r>
      <w:r w:rsidR="00463263">
        <w:rPr>
          <w:sz w:val="24"/>
        </w:rPr>
        <w:t>9</w:t>
      </w:r>
      <w:r w:rsidR="00FF5A9C">
        <w:rPr>
          <w:rFonts w:hint="eastAsia"/>
          <w:sz w:val="24"/>
        </w:rPr>
        <w:t>月</w:t>
      </w:r>
      <w:r w:rsidR="00463263">
        <w:rPr>
          <w:sz w:val="24"/>
        </w:rPr>
        <w:t>27</w:t>
      </w:r>
      <w:r w:rsidR="00FF5A9C">
        <w:rPr>
          <w:rFonts w:hint="eastAsia"/>
          <w:sz w:val="24"/>
        </w:rPr>
        <w:t>日</w:t>
      </w:r>
    </w:p>
    <w:sectPr w:rsidR="00626D86" w:rsidSect="00E521D7">
      <w:footerReference w:type="default" r:id="rId8"/>
      <w:pgSz w:w="11906" w:h="16838"/>
      <w:pgMar w:top="1418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F2" w:rsidRDefault="009315F2">
      <w:r>
        <w:separator/>
      </w:r>
    </w:p>
  </w:endnote>
  <w:endnote w:type="continuationSeparator" w:id="0">
    <w:p w:rsidR="009315F2" w:rsidRDefault="0093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86" w:rsidRDefault="008D3FB7">
    <w:pPr>
      <w:pStyle w:val="ab"/>
      <w:jc w:val="center"/>
    </w:pPr>
    <w:r>
      <w:fldChar w:fldCharType="begin"/>
    </w:r>
    <w:r w:rsidR="00FF5A9C">
      <w:instrText xml:space="preserve"> PAGE   \* MERGEFORMAT </w:instrText>
    </w:r>
    <w:r>
      <w:fldChar w:fldCharType="separate"/>
    </w:r>
    <w:r w:rsidR="004F022B">
      <w:rPr>
        <w:noProof/>
      </w:rPr>
      <w:t>2</w:t>
    </w:r>
    <w:r>
      <w:rPr>
        <w:lang w:val="zh-CN"/>
      </w:rPr>
      <w:fldChar w:fldCharType="end"/>
    </w:r>
  </w:p>
  <w:p w:rsidR="00626D86" w:rsidRDefault="00626D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F2" w:rsidRDefault="009315F2">
      <w:r>
        <w:separator/>
      </w:r>
    </w:p>
  </w:footnote>
  <w:footnote w:type="continuationSeparator" w:id="0">
    <w:p w:rsidR="009315F2" w:rsidRDefault="0093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86"/>
    <w:rsid w:val="000429E2"/>
    <w:rsid w:val="00051D9C"/>
    <w:rsid w:val="00106321"/>
    <w:rsid w:val="00125DEE"/>
    <w:rsid w:val="001524DA"/>
    <w:rsid w:val="0016376B"/>
    <w:rsid w:val="001A63B6"/>
    <w:rsid w:val="001B41F2"/>
    <w:rsid w:val="002208AE"/>
    <w:rsid w:val="00286FA3"/>
    <w:rsid w:val="002A414A"/>
    <w:rsid w:val="00321C55"/>
    <w:rsid w:val="00341815"/>
    <w:rsid w:val="00370487"/>
    <w:rsid w:val="003A0EB0"/>
    <w:rsid w:val="00463263"/>
    <w:rsid w:val="0049630C"/>
    <w:rsid w:val="004C68A8"/>
    <w:rsid w:val="004F022B"/>
    <w:rsid w:val="00510FB6"/>
    <w:rsid w:val="00567138"/>
    <w:rsid w:val="005968D3"/>
    <w:rsid w:val="005C5138"/>
    <w:rsid w:val="005D72FF"/>
    <w:rsid w:val="005E7378"/>
    <w:rsid w:val="00626D86"/>
    <w:rsid w:val="006C36F6"/>
    <w:rsid w:val="006F5E5E"/>
    <w:rsid w:val="00767CC1"/>
    <w:rsid w:val="007D79A9"/>
    <w:rsid w:val="008260BE"/>
    <w:rsid w:val="00836E66"/>
    <w:rsid w:val="008D3FB7"/>
    <w:rsid w:val="009315F2"/>
    <w:rsid w:val="00A04857"/>
    <w:rsid w:val="00A27171"/>
    <w:rsid w:val="00AE1887"/>
    <w:rsid w:val="00B37F2B"/>
    <w:rsid w:val="00B950DB"/>
    <w:rsid w:val="00C35B3F"/>
    <w:rsid w:val="00CB4C41"/>
    <w:rsid w:val="00CD7473"/>
    <w:rsid w:val="00D44F0A"/>
    <w:rsid w:val="00D820E7"/>
    <w:rsid w:val="00E31CB1"/>
    <w:rsid w:val="00E521D7"/>
    <w:rsid w:val="00E76C5E"/>
    <w:rsid w:val="00F025C6"/>
    <w:rsid w:val="00F12AC9"/>
    <w:rsid w:val="00F6420D"/>
    <w:rsid w:val="00F7410D"/>
    <w:rsid w:val="00FA586F"/>
    <w:rsid w:val="00FD3DA2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9143076"/>
  <w15:docId w15:val="{D531BED6-A534-4C92-9974-F7DCE247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D7"/>
    <w:pPr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E521D7"/>
    <w:pPr>
      <w:keepNext/>
      <w:keepLines/>
      <w:spacing w:line="360" w:lineRule="auto"/>
      <w:outlineLvl w:val="0"/>
    </w:pPr>
    <w:rPr>
      <w:rFonts w:eastAsia="黑体"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E521D7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E521D7"/>
    <w:pPr>
      <w:jc w:val="left"/>
    </w:pPr>
  </w:style>
  <w:style w:type="paragraph" w:styleId="a7">
    <w:name w:val="Document Map"/>
    <w:basedOn w:val="a"/>
    <w:link w:val="a8"/>
    <w:uiPriority w:val="99"/>
    <w:semiHidden/>
    <w:unhideWhenUsed/>
    <w:rsid w:val="00E521D7"/>
    <w:rPr>
      <w:rFonts w:ascii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521D7"/>
    <w:rPr>
      <w:sz w:val="18"/>
      <w:szCs w:val="18"/>
    </w:rPr>
  </w:style>
  <w:style w:type="paragraph" w:styleId="ab">
    <w:name w:val="footer"/>
    <w:basedOn w:val="a"/>
    <w:link w:val="ac"/>
    <w:uiPriority w:val="99"/>
    <w:rsid w:val="00E521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uiPriority w:val="99"/>
    <w:rsid w:val="00E521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f">
    <w:name w:val="annotation reference"/>
    <w:uiPriority w:val="99"/>
    <w:semiHidden/>
    <w:unhideWhenUsed/>
    <w:rsid w:val="00E521D7"/>
    <w:rPr>
      <w:sz w:val="21"/>
      <w:szCs w:val="21"/>
    </w:rPr>
  </w:style>
  <w:style w:type="paragraph" w:customStyle="1" w:styleId="5">
    <w:name w:val="样式5"/>
    <w:basedOn w:val="1"/>
    <w:rsid w:val="00E521D7"/>
  </w:style>
  <w:style w:type="character" w:customStyle="1" w:styleId="ae">
    <w:name w:val="页眉 字符"/>
    <w:link w:val="ad"/>
    <w:uiPriority w:val="99"/>
    <w:rsid w:val="00E521D7"/>
    <w:rPr>
      <w:kern w:val="2"/>
      <w:sz w:val="18"/>
    </w:rPr>
  </w:style>
  <w:style w:type="character" w:customStyle="1" w:styleId="ac">
    <w:name w:val="页脚 字符"/>
    <w:link w:val="ab"/>
    <w:uiPriority w:val="99"/>
    <w:rsid w:val="00E521D7"/>
    <w:rPr>
      <w:kern w:val="2"/>
      <w:sz w:val="18"/>
    </w:rPr>
  </w:style>
  <w:style w:type="character" w:customStyle="1" w:styleId="a8">
    <w:name w:val="文档结构图 字符"/>
    <w:link w:val="a7"/>
    <w:uiPriority w:val="99"/>
    <w:semiHidden/>
    <w:rsid w:val="00E521D7"/>
    <w:rPr>
      <w:rFonts w:ascii="宋体"/>
      <w:kern w:val="2"/>
      <w:sz w:val="18"/>
      <w:szCs w:val="18"/>
    </w:rPr>
  </w:style>
  <w:style w:type="character" w:customStyle="1" w:styleId="a6">
    <w:name w:val="批注文字 字符"/>
    <w:link w:val="a4"/>
    <w:uiPriority w:val="99"/>
    <w:semiHidden/>
    <w:rsid w:val="00E521D7"/>
    <w:rPr>
      <w:kern w:val="2"/>
      <w:sz w:val="21"/>
    </w:rPr>
  </w:style>
  <w:style w:type="character" w:customStyle="1" w:styleId="a5">
    <w:name w:val="批注主题 字符"/>
    <w:link w:val="a3"/>
    <w:uiPriority w:val="99"/>
    <w:semiHidden/>
    <w:rsid w:val="00E521D7"/>
    <w:rPr>
      <w:b/>
      <w:bCs/>
      <w:kern w:val="2"/>
      <w:sz w:val="21"/>
    </w:rPr>
  </w:style>
  <w:style w:type="character" w:customStyle="1" w:styleId="aa">
    <w:name w:val="批注框文本 字符"/>
    <w:link w:val="a9"/>
    <w:uiPriority w:val="99"/>
    <w:semiHidden/>
    <w:rsid w:val="00E521D7"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02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257</Words>
  <Characters>1468</Characters>
  <Application>Microsoft Office Word</Application>
  <DocSecurity>0</DocSecurity>
  <Lines>12</Lines>
  <Paragraphs>3</Paragraphs>
  <ScaleCrop>false</ScaleCrop>
  <Company>浙江大学公共管理学院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浙江大学公共管理学院博士研究生中期考核实施细则（试行）</dc:title>
  <dc:creator>Owner</dc:creator>
  <cp:lastModifiedBy>ZXLZJ</cp:lastModifiedBy>
  <cp:revision>16</cp:revision>
  <cp:lastPrinted>2018-10-12T02:07:00Z</cp:lastPrinted>
  <dcterms:created xsi:type="dcterms:W3CDTF">2021-10-29T06:09:00Z</dcterms:created>
  <dcterms:modified xsi:type="dcterms:W3CDTF">2024-05-23T06:56:00Z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